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E291" w14:textId="77777777" w:rsidR="00B43027" w:rsidRDefault="00000000">
      <w:pPr>
        <w:pStyle w:val="Section"/>
      </w:pPr>
      <w:r>
        <w:t>74-4.006 Amendments to CGBSC.</w:t>
      </w:r>
    </w:p>
    <w:p w14:paraId="2DCEBB67" w14:textId="77777777" w:rsidR="00B43027" w:rsidRDefault="00000000">
      <w:pPr>
        <w:pStyle w:val="Paragraph1"/>
      </w:pPr>
      <w:r>
        <w:t xml:space="preserve">The </w:t>
      </w:r>
      <w:r w:rsidRPr="00DE0FE9">
        <w:rPr>
          <w:highlight w:val="yellow"/>
        </w:rPr>
        <w:t>2025 California Green Building Standards Code</w:t>
      </w:r>
      <w:r>
        <w:t xml:space="preserve"> ("CGBSC") is amended by the changes, additions, and deletions set forth in this chapter and Division 72. Section numbers used in this section are those of the 2025 California Green Building Standards Code. </w:t>
      </w:r>
    </w:p>
    <w:p w14:paraId="6EF83961" w14:textId="77777777" w:rsidR="00B43027" w:rsidRDefault="00000000">
      <w:pPr>
        <w:pStyle w:val="List2"/>
      </w:pPr>
      <w:r>
        <w:t>(a)</w:t>
      </w:r>
      <w:r>
        <w:tab/>
        <w:t>Section 301.1.1</w:t>
      </w:r>
      <w:r w:rsidRPr="0048418B">
        <w:rPr>
          <w:b/>
          <w:bCs/>
        </w:rPr>
        <w:t xml:space="preserve"> (Additions and alterations)</w:t>
      </w:r>
      <w:r>
        <w:t xml:space="preserve"> of CGBSC Chapter 3 (Green Building) is amended by adding the following to the end of that section: </w:t>
      </w:r>
    </w:p>
    <w:p w14:paraId="43BE2BB5" w14:textId="77777777" w:rsidR="00B43027" w:rsidRDefault="00000000">
      <w:pPr>
        <w:pStyle w:val="Block3"/>
      </w:pPr>
      <w:r>
        <w:t xml:space="preserve">The mandatory provisions of Section 4.408 shall apply to the following types of construction or demolition projects for existing residential buildings: </w:t>
      </w:r>
    </w:p>
    <w:p w14:paraId="719FA720" w14:textId="77777777" w:rsidR="00B43027" w:rsidRPr="0048418B" w:rsidRDefault="00000000">
      <w:pPr>
        <w:pStyle w:val="List3"/>
        <w:rPr>
          <w:b/>
          <w:bCs/>
        </w:rPr>
      </w:pPr>
      <w:r>
        <w:t>1.</w:t>
      </w:r>
      <w:r>
        <w:tab/>
        <w:t>Projects that increase the total combined conditioned and unconditioned building area by</w:t>
      </w:r>
      <w:r w:rsidRPr="0048418B">
        <w:rPr>
          <w:b/>
          <w:bCs/>
        </w:rPr>
        <w:t xml:space="preserve"> 5,000 square feet or more. </w:t>
      </w:r>
    </w:p>
    <w:p w14:paraId="14DB77CE" w14:textId="77777777" w:rsidR="00B43027" w:rsidRDefault="00000000">
      <w:pPr>
        <w:pStyle w:val="List3"/>
      </w:pPr>
      <w:r>
        <w:t>2.</w:t>
      </w:r>
      <w:r>
        <w:tab/>
        <w:t xml:space="preserve">Alterations to existing structures impacting 5,000 square feet or more of total combined conditioned and unconditioned building area. </w:t>
      </w:r>
    </w:p>
    <w:p w14:paraId="428FD302" w14:textId="77777777" w:rsidR="00B43027" w:rsidRDefault="00000000">
      <w:pPr>
        <w:pStyle w:val="List3"/>
      </w:pPr>
      <w:r>
        <w:t>3.</w:t>
      </w:r>
      <w:r>
        <w:tab/>
        <w:t xml:space="preserve">Demolition projects when a demolition permit is required. </w:t>
      </w:r>
    </w:p>
    <w:p w14:paraId="229EBDE8" w14:textId="77777777" w:rsidR="00B43027" w:rsidRDefault="00000000">
      <w:pPr>
        <w:pStyle w:val="Block4"/>
      </w:pPr>
      <w:r>
        <w:t xml:space="preserve">Exception: Demolition projects undertaken because the enforcing agency has determined that the demolition is necessary to abate a public nuisance or otherwise protect public health and safety. </w:t>
      </w:r>
    </w:p>
    <w:p w14:paraId="3EE84061" w14:textId="77777777" w:rsidR="00B43027" w:rsidRDefault="00000000">
      <w:pPr>
        <w:pStyle w:val="Block3"/>
      </w:pPr>
      <w:r>
        <w:t xml:space="preserve">For the purposes of determining whether a project meets the 5,000 square-foot threshold, the enforcing agency may deem all phases of a project and all related projects taking place on a single parcel, or on two or more adjoining parcel(s), as a single project. </w:t>
      </w:r>
    </w:p>
    <w:p w14:paraId="6EFA8D92" w14:textId="77777777" w:rsidR="00B43027" w:rsidRDefault="00000000">
      <w:pPr>
        <w:pStyle w:val="List2"/>
      </w:pPr>
      <w:r>
        <w:t>(b)</w:t>
      </w:r>
      <w:r>
        <w:tab/>
        <w:t xml:space="preserve">Section 301.3.2 (Waste diversion) of CGBSC Chapter 3 (Green Building) is amended to read: </w:t>
      </w:r>
    </w:p>
    <w:p w14:paraId="1D160D0E" w14:textId="77777777" w:rsidR="00B43027" w:rsidRDefault="00000000">
      <w:pPr>
        <w:pStyle w:val="Block3"/>
      </w:pPr>
      <w:r>
        <w:rPr>
          <w:b/>
        </w:rPr>
        <w:t>Section 301.3.2 Waste diversion.</w:t>
      </w:r>
      <w:r>
        <w:t xml:space="preserve"> The requirements of Section 5.408 shall be required for additions, alterations, and demolition whenever a permit is required for work. </w:t>
      </w:r>
    </w:p>
    <w:p w14:paraId="71FFA507" w14:textId="77777777" w:rsidR="00B43027" w:rsidRDefault="00000000">
      <w:pPr>
        <w:pStyle w:val="Block3"/>
      </w:pPr>
      <w:r>
        <w:t xml:space="preserve">Exception: Demolition projects undertaken because the enforcing agency has determined that the demolition is necessary to abate a public nuisance or otherwise protect public health and safety. </w:t>
      </w:r>
    </w:p>
    <w:p w14:paraId="776B00AA" w14:textId="77777777" w:rsidR="00B43027" w:rsidRDefault="00000000">
      <w:pPr>
        <w:pStyle w:val="List2"/>
      </w:pPr>
      <w:r>
        <w:t>(c)</w:t>
      </w:r>
      <w:r>
        <w:tab/>
      </w:r>
      <w:r w:rsidRPr="00DE0FE9">
        <w:rPr>
          <w:highlight w:val="yellow"/>
        </w:rPr>
        <w:t>Section 4.106.4.2.2</w:t>
      </w:r>
      <w:r w:rsidRPr="0048418B">
        <w:rPr>
          <w:b/>
          <w:bCs/>
        </w:rPr>
        <w:t xml:space="preserve"> (Multifamily Dwellings)</w:t>
      </w:r>
      <w:r>
        <w:t xml:space="preserve"> of CGBSC Chapter 4 (Residential Mandatory Measures) is amended by adding subsection (2)(d) to the end of that section, to read: </w:t>
      </w:r>
    </w:p>
    <w:p w14:paraId="5F05752A" w14:textId="77777777" w:rsidR="00B43027" w:rsidRDefault="00000000">
      <w:pPr>
        <w:pStyle w:val="List3"/>
      </w:pPr>
      <w:r>
        <w:t>d.</w:t>
      </w:r>
      <w:r>
        <w:tab/>
      </w:r>
      <w:r>
        <w:rPr>
          <w:b/>
        </w:rPr>
        <w:t>EV Chargers.</w:t>
      </w:r>
      <w:r>
        <w:t xml:space="preserve"> Notwithstanding anything in this section to the contrary, at least ten (10) percent of the total number of parking spaces shall be equipped with fully-operational Level 2 EVSE. </w:t>
      </w:r>
    </w:p>
    <w:p w14:paraId="6F6CAC63" w14:textId="77777777" w:rsidR="00B43027" w:rsidRDefault="00000000">
      <w:pPr>
        <w:pStyle w:val="List2"/>
      </w:pPr>
      <w:r>
        <w:t>(d)</w:t>
      </w:r>
      <w:r>
        <w:tab/>
        <w:t xml:space="preserve">Section 4.408.1 (Construction waste management) of CGBSC Chapter 4 (Residential Mandatory Measures) is amended to read: </w:t>
      </w:r>
    </w:p>
    <w:p w14:paraId="371E53E4" w14:textId="77777777" w:rsidR="00B43027" w:rsidRDefault="00000000">
      <w:pPr>
        <w:pStyle w:val="Block3"/>
      </w:pPr>
      <w:r>
        <w:rPr>
          <w:b/>
        </w:rPr>
        <w:t>Section 4.408.1 Construction waste management.</w:t>
      </w:r>
      <w:r>
        <w:t xml:space="preserve"> Recycle and/or salvage for reuse a minimum of 65 percent of the nonhazardous construction and demolition waste in accordance with Section 4.408.2. </w:t>
      </w:r>
    </w:p>
    <w:p w14:paraId="21852A78" w14:textId="77777777" w:rsidR="00B43027" w:rsidRDefault="00000000">
      <w:pPr>
        <w:pStyle w:val="Block3"/>
      </w:pPr>
      <w:r>
        <w:t xml:space="preserve">Exceptions: </w:t>
      </w:r>
    </w:p>
    <w:p w14:paraId="0CBB12DE" w14:textId="77777777" w:rsidR="00B43027" w:rsidRDefault="00000000">
      <w:pPr>
        <w:pStyle w:val="List3"/>
      </w:pPr>
      <w:r>
        <w:t>1.</w:t>
      </w:r>
      <w:r>
        <w:tab/>
        <w:t xml:space="preserve">Excavated soil and land-clearing debris. </w:t>
      </w:r>
    </w:p>
    <w:p w14:paraId="7FCF76E2" w14:textId="77777777" w:rsidR="00B43027" w:rsidRDefault="00000000">
      <w:pPr>
        <w:pStyle w:val="List3"/>
      </w:pPr>
      <w:r>
        <w:t>2.</w:t>
      </w:r>
      <w:r>
        <w:tab/>
        <w:t xml:space="preserve">The enforcing agency may identify alternate waste reduction requirements if the agency determines that an owner or contractor has adequately demonstrated that diversion facilities necessary for the owner to comply with this section do not exist or are not located within a reasonable distance from the jobsite. </w:t>
      </w:r>
    </w:p>
    <w:p w14:paraId="5510AAB2" w14:textId="77777777" w:rsidR="00B43027" w:rsidRDefault="00000000">
      <w:pPr>
        <w:pStyle w:val="List2"/>
      </w:pPr>
      <w:r>
        <w:t>(e)</w:t>
      </w:r>
      <w:r>
        <w:tab/>
        <w:t xml:space="preserve">Section 4.408.2 (Construction waste management plan) of CGBSC Chapter 4 (Residential Mandatory Measures) is amended to read: </w:t>
      </w:r>
    </w:p>
    <w:p w14:paraId="7B714C65" w14:textId="77777777" w:rsidR="00B43027" w:rsidRDefault="00000000">
      <w:pPr>
        <w:pStyle w:val="Block3"/>
      </w:pPr>
      <w:r>
        <w:rPr>
          <w:b/>
        </w:rPr>
        <w:lastRenderedPageBreak/>
        <w:t>Section 4.408.2 Construction waste management plan.</w:t>
      </w:r>
      <w:r>
        <w:t xml:space="preserve"> Submit a construction waste management plan for the project in conformance with Items 1 through 5 prior to issuance of a building permit. The construction waste management plan shall be updated as necessary, subject to approval by the enforcing agency. The approved plan, and any updates, shall be available during construction for examination by the enforcing agency. The plan must do all of the following: </w:t>
      </w:r>
    </w:p>
    <w:p w14:paraId="448CC7CF" w14:textId="77777777" w:rsidR="00B43027" w:rsidRDefault="00000000">
      <w:pPr>
        <w:pStyle w:val="List3"/>
      </w:pPr>
      <w:r>
        <w:t>1.</w:t>
      </w:r>
      <w:r>
        <w:tab/>
        <w:t xml:space="preserve">Identify the construction and demolition waste materials to be diverted from disposal by recycling, reuse on the project, or salvage for future use or sale. </w:t>
      </w:r>
    </w:p>
    <w:p w14:paraId="67DA399F" w14:textId="77777777" w:rsidR="00B43027" w:rsidRDefault="00000000">
      <w:pPr>
        <w:pStyle w:val="List3"/>
      </w:pPr>
      <w:r>
        <w:t>2.</w:t>
      </w:r>
      <w:r>
        <w:tab/>
        <w:t xml:space="preserve">Specify if construction and demolition waste materials will be sorted on-site (source-separated) or bulk mixed (single stream). </w:t>
      </w:r>
    </w:p>
    <w:p w14:paraId="39E17868" w14:textId="77777777" w:rsidR="00B43027" w:rsidRDefault="00000000">
      <w:pPr>
        <w:pStyle w:val="List3"/>
      </w:pPr>
      <w:r>
        <w:t>3.</w:t>
      </w:r>
      <w:r>
        <w:tab/>
        <w:t xml:space="preserve">Identify diversion and disposal facilities where the construction and demolition waste material will be taken and identify the waste management companies, if any, that will be utilized to haul the construction and demolition waste material. A waste management company utilized to haul construction and demolition waste material must have all applicable County approvals. </w:t>
      </w:r>
    </w:p>
    <w:p w14:paraId="19D4F9FC" w14:textId="77777777" w:rsidR="00B43027" w:rsidRDefault="00000000">
      <w:pPr>
        <w:pStyle w:val="List3"/>
      </w:pPr>
      <w:r>
        <w:t>4.</w:t>
      </w:r>
      <w:r>
        <w:tab/>
        <w:t xml:space="preserve">Identify construction methods employed to reduce the amount of construction and demolition waste generated. </w:t>
      </w:r>
    </w:p>
    <w:p w14:paraId="1A8707F9" w14:textId="77777777" w:rsidR="00B43027" w:rsidRDefault="00000000">
      <w:pPr>
        <w:pStyle w:val="List3"/>
      </w:pPr>
      <w:r>
        <w:t>5.</w:t>
      </w:r>
      <w:r>
        <w:tab/>
        <w:t xml:space="preserve">Specify that the amount of construction and demolition debris shall be calculated consistent with the enforcing agency's requirements for the weighing of debris. The owner shall ensure that all construction and demolition debris diverted or disposed are measured and recorded by weight or volume using the most accurate method of measurement available. To the extent practicable, all construction and demolition debris shall be weighed using scales. Scales shall be in compliance with all regulatory requirements for accuracy and maintenance. For construction and demolition debris for which weighing is not possible due to lack of scales, or not practical due to materials being reused on-site or elsewhere, or not practical due to other considerations, and upon approval by the enforcing agency, a volumetric measurement shall be used. The owner shall convert volumetric measurements to weight using the standardized conversion factors approved by the enforcing agency for this purpose. </w:t>
      </w:r>
    </w:p>
    <w:p w14:paraId="4949A39D" w14:textId="77777777" w:rsidR="00B43027" w:rsidRDefault="00000000">
      <w:pPr>
        <w:pStyle w:val="List2"/>
      </w:pPr>
      <w:r>
        <w:t>(f)</w:t>
      </w:r>
      <w:r>
        <w:tab/>
      </w:r>
      <w:r w:rsidRPr="0034261A">
        <w:rPr>
          <w:highlight w:val="yellow"/>
        </w:rPr>
        <w:t>Section 4.408.3 (Waste management company) of CGBSC Chapter 4 (Residential Mandatory Measures) is deleted.</w:t>
      </w:r>
      <w:r>
        <w:t xml:space="preserve"> </w:t>
      </w:r>
    </w:p>
    <w:p w14:paraId="291694CE" w14:textId="77777777" w:rsidR="00B43027" w:rsidRDefault="00000000">
      <w:pPr>
        <w:pStyle w:val="List2"/>
      </w:pPr>
      <w:r>
        <w:t>(g)</w:t>
      </w:r>
      <w:r>
        <w:tab/>
        <w:t xml:space="preserve">Section 4.408.5 (Documentation) of CGBSC Chapter 4 (Residential Mandatory Measures) is amended to read: </w:t>
      </w:r>
    </w:p>
    <w:p w14:paraId="62576359" w14:textId="77777777" w:rsidR="00B43027" w:rsidRDefault="00000000">
      <w:pPr>
        <w:pStyle w:val="Block3"/>
      </w:pPr>
      <w:r>
        <w:rPr>
          <w:b/>
        </w:rPr>
        <w:t>Section 4.408.5 Documentation.</w:t>
      </w:r>
      <w:r>
        <w:t xml:space="preserve"> A construction waste management final report containing information and supporting documentation that demonstrates compliance with Section 4.408.1, Section 4.408.2, Items 1 through 5, and, when applicable, Section 4.408.4 or Section 4.408.4.1, shall be provided to the enforcing agency before the final inspection. The required documentation shall include, but is not necessarily limited to, the following: </w:t>
      </w:r>
    </w:p>
    <w:p w14:paraId="4D8B363B" w14:textId="77777777" w:rsidR="00B43027" w:rsidRDefault="00000000">
      <w:pPr>
        <w:pStyle w:val="List3"/>
      </w:pPr>
      <w:r>
        <w:t>1.</w:t>
      </w:r>
      <w:r>
        <w:tab/>
        <w:t xml:space="preserve">Documentation of the quantity, by weight, of each material type diverted or disposed, consistent with the requirements of Section 4.408.2, Item 5, and receipts or written certification from all receiving facilities utilized to divert or dispose of waste generated by the project that substantiate the amounts specified on the construction waste management final report; or </w:t>
      </w:r>
    </w:p>
    <w:p w14:paraId="70AC5AA9" w14:textId="77777777" w:rsidR="00B43027" w:rsidRDefault="00000000">
      <w:pPr>
        <w:pStyle w:val="List3"/>
      </w:pPr>
      <w:r>
        <w:t>2.</w:t>
      </w:r>
      <w:r>
        <w:tab/>
        <w:t xml:space="preserve">For projects that satisfy the waste stream reduction alternative specified in Section 4.408.4 or Section 4.408.4.1, documentation of the quantity, by weight, of each material type disposed of and the total combined weight of construction and demolition waste disposed in landfills as a result of the project, the corresponding pounds disposed per square foot of the building area, and receipts or written certification from all receiving facilities utilized to dispose waste generated by the project that substantiate the amounts specified on the construction waste management final report. </w:t>
      </w:r>
    </w:p>
    <w:p w14:paraId="1F1EEE72" w14:textId="77777777" w:rsidR="00B43027" w:rsidRDefault="00000000">
      <w:pPr>
        <w:pStyle w:val="List2"/>
      </w:pPr>
      <w:r>
        <w:lastRenderedPageBreak/>
        <w:t>(h)</w:t>
      </w:r>
      <w:r>
        <w:tab/>
        <w:t xml:space="preserve">Table 5.106.5.3.1 (EV Capable Spaces and EVCS) of CGBSC Chapter 5 (Nonresidential Mandatory Measures) is amended to read: </w:t>
      </w:r>
    </w:p>
    <w:p w14:paraId="00AE585F" w14:textId="77777777" w:rsidR="00B43027" w:rsidRDefault="00000000">
      <w:pPr>
        <w:pStyle w:val="Block2Center"/>
      </w:pPr>
      <w:r>
        <w:t xml:space="preserve">TABLE 5.106.5.3.1 - EV CAPABLE SPACES AND EVCS </w:t>
      </w:r>
    </w:p>
    <w:tbl>
      <w:tblPr>
        <w:tblStyle w:val="Table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5"/>
        <w:gridCol w:w="2335"/>
        <w:gridCol w:w="2335"/>
        <w:gridCol w:w="2335"/>
      </w:tblGrid>
      <w:tr w:rsidR="00B43027" w14:paraId="27B9C38C" w14:textId="77777777">
        <w:tc>
          <w:tcPr>
            <w:tcW w:w="1250" w:type="pct"/>
          </w:tcPr>
          <w:p w14:paraId="3B80D688" w14:textId="77777777" w:rsidR="00B43027" w:rsidRDefault="00000000">
            <w:pPr>
              <w:jc w:val="center"/>
            </w:pPr>
            <w:r>
              <w:t xml:space="preserve"> TOTAL NUMBER OF ACTUAL PARKING SPACES </w:t>
            </w:r>
          </w:p>
        </w:tc>
        <w:tc>
          <w:tcPr>
            <w:tcW w:w="1250" w:type="pct"/>
          </w:tcPr>
          <w:p w14:paraId="58B2E4B7" w14:textId="77777777" w:rsidR="00B43027" w:rsidRDefault="00000000">
            <w:pPr>
              <w:jc w:val="center"/>
            </w:pPr>
            <w:r>
              <w:t xml:space="preserve">NUMBER OF REQUIRED EV CAPABLE SPACES </w:t>
            </w:r>
          </w:p>
        </w:tc>
        <w:tc>
          <w:tcPr>
            <w:tcW w:w="1250" w:type="pct"/>
          </w:tcPr>
          <w:p w14:paraId="61FD2675" w14:textId="77777777" w:rsidR="00B43027" w:rsidRDefault="00000000">
            <w:pPr>
              <w:jc w:val="center"/>
            </w:pPr>
            <w:r>
              <w:t xml:space="preserve">OTHER </w:t>
            </w:r>
            <w:proofErr w:type="gramStart"/>
            <w:r>
              <w:t>THAN</w:t>
            </w:r>
            <w:proofErr w:type="gramEnd"/>
            <w:r>
              <w:t xml:space="preserve"> OFFICE AND RETAIL NUMBER OF REQUIRED EVCS</w:t>
            </w:r>
            <w:r>
              <w:rPr>
                <w:vertAlign w:val="superscript"/>
              </w:rPr>
              <w:t xml:space="preserve">2, 3 </w:t>
            </w:r>
          </w:p>
        </w:tc>
        <w:tc>
          <w:tcPr>
            <w:tcW w:w="1250" w:type="pct"/>
          </w:tcPr>
          <w:p w14:paraId="47B93883" w14:textId="77777777" w:rsidR="00B43027" w:rsidRDefault="00000000">
            <w:pPr>
              <w:jc w:val="center"/>
            </w:pPr>
            <w:r>
              <w:t>OFFICE AND RETAIL NUMBER OF REQUIRED EVCS</w:t>
            </w:r>
            <w:r>
              <w:rPr>
                <w:vertAlign w:val="superscript"/>
              </w:rPr>
              <w:t xml:space="preserve">2, 3 </w:t>
            </w:r>
          </w:p>
        </w:tc>
      </w:tr>
      <w:tr w:rsidR="00B43027" w14:paraId="49BE11C0" w14:textId="77777777">
        <w:tc>
          <w:tcPr>
            <w:tcW w:w="1250" w:type="pct"/>
          </w:tcPr>
          <w:p w14:paraId="1C8F900D" w14:textId="77777777" w:rsidR="00B43027" w:rsidRDefault="00000000">
            <w:pPr>
              <w:jc w:val="center"/>
            </w:pPr>
            <w:r>
              <w:t xml:space="preserve">1-9 </w:t>
            </w:r>
          </w:p>
        </w:tc>
        <w:tc>
          <w:tcPr>
            <w:tcW w:w="1250" w:type="pct"/>
          </w:tcPr>
          <w:p w14:paraId="4A96136C" w14:textId="77777777" w:rsidR="00B43027" w:rsidRDefault="00000000">
            <w:pPr>
              <w:jc w:val="center"/>
            </w:pPr>
            <w:r>
              <w:t xml:space="preserve">0 </w:t>
            </w:r>
          </w:p>
        </w:tc>
        <w:tc>
          <w:tcPr>
            <w:tcW w:w="1250" w:type="pct"/>
          </w:tcPr>
          <w:p w14:paraId="7A73E1C2" w14:textId="77777777" w:rsidR="00B43027" w:rsidRDefault="00000000">
            <w:pPr>
              <w:jc w:val="center"/>
            </w:pPr>
            <w:r>
              <w:t xml:space="preserve">0 </w:t>
            </w:r>
          </w:p>
        </w:tc>
        <w:tc>
          <w:tcPr>
            <w:tcW w:w="1250" w:type="pct"/>
          </w:tcPr>
          <w:p w14:paraId="4AA8D346" w14:textId="77777777" w:rsidR="00B43027" w:rsidRDefault="00000000">
            <w:pPr>
              <w:jc w:val="center"/>
            </w:pPr>
            <w:r>
              <w:t xml:space="preserve">0 </w:t>
            </w:r>
          </w:p>
        </w:tc>
      </w:tr>
      <w:tr w:rsidR="00B43027" w14:paraId="08BCFA90" w14:textId="77777777">
        <w:tc>
          <w:tcPr>
            <w:tcW w:w="1250" w:type="pct"/>
          </w:tcPr>
          <w:p w14:paraId="1BBBCD1E" w14:textId="77777777" w:rsidR="00B43027" w:rsidRDefault="00000000">
            <w:pPr>
              <w:jc w:val="center"/>
            </w:pPr>
            <w:r>
              <w:t xml:space="preserve">10-25 </w:t>
            </w:r>
          </w:p>
        </w:tc>
        <w:tc>
          <w:tcPr>
            <w:tcW w:w="1250" w:type="pct"/>
          </w:tcPr>
          <w:p w14:paraId="0EB8ADA0" w14:textId="77777777" w:rsidR="00B43027" w:rsidRDefault="00000000">
            <w:pPr>
              <w:jc w:val="center"/>
            </w:pPr>
            <w:r>
              <w:t xml:space="preserve">4 </w:t>
            </w:r>
          </w:p>
        </w:tc>
        <w:tc>
          <w:tcPr>
            <w:tcW w:w="1250" w:type="pct"/>
          </w:tcPr>
          <w:p w14:paraId="5DE98FAA" w14:textId="77777777" w:rsidR="00B43027" w:rsidRDefault="00000000">
            <w:pPr>
              <w:jc w:val="center"/>
            </w:pPr>
            <w:r>
              <w:t xml:space="preserve">3 </w:t>
            </w:r>
          </w:p>
        </w:tc>
        <w:tc>
          <w:tcPr>
            <w:tcW w:w="1250" w:type="pct"/>
          </w:tcPr>
          <w:p w14:paraId="643963F8" w14:textId="77777777" w:rsidR="00B43027" w:rsidRDefault="00000000">
            <w:pPr>
              <w:jc w:val="center"/>
            </w:pPr>
            <w:r>
              <w:t xml:space="preserve">3 </w:t>
            </w:r>
          </w:p>
        </w:tc>
      </w:tr>
      <w:tr w:rsidR="00B43027" w14:paraId="100D599C" w14:textId="77777777">
        <w:tc>
          <w:tcPr>
            <w:tcW w:w="1250" w:type="pct"/>
          </w:tcPr>
          <w:p w14:paraId="54E51524" w14:textId="77777777" w:rsidR="00B43027" w:rsidRDefault="00000000">
            <w:pPr>
              <w:jc w:val="center"/>
            </w:pPr>
            <w:r>
              <w:t xml:space="preserve">26-50 </w:t>
            </w:r>
          </w:p>
        </w:tc>
        <w:tc>
          <w:tcPr>
            <w:tcW w:w="1250" w:type="pct"/>
          </w:tcPr>
          <w:p w14:paraId="7368F412" w14:textId="77777777" w:rsidR="00B43027" w:rsidRDefault="00000000">
            <w:pPr>
              <w:jc w:val="center"/>
            </w:pPr>
            <w:r>
              <w:t xml:space="preserve">8 </w:t>
            </w:r>
          </w:p>
        </w:tc>
        <w:tc>
          <w:tcPr>
            <w:tcW w:w="1250" w:type="pct"/>
          </w:tcPr>
          <w:p w14:paraId="1C684942" w14:textId="77777777" w:rsidR="00B43027" w:rsidRDefault="00000000">
            <w:pPr>
              <w:jc w:val="center"/>
            </w:pPr>
            <w:r>
              <w:t xml:space="preserve">5 </w:t>
            </w:r>
          </w:p>
        </w:tc>
        <w:tc>
          <w:tcPr>
            <w:tcW w:w="1250" w:type="pct"/>
          </w:tcPr>
          <w:p w14:paraId="67CF200C" w14:textId="77777777" w:rsidR="00B43027" w:rsidRDefault="00000000">
            <w:pPr>
              <w:jc w:val="center"/>
            </w:pPr>
            <w:r>
              <w:t xml:space="preserve">6 </w:t>
            </w:r>
          </w:p>
        </w:tc>
      </w:tr>
      <w:tr w:rsidR="00B43027" w14:paraId="625316FC" w14:textId="77777777">
        <w:tc>
          <w:tcPr>
            <w:tcW w:w="1250" w:type="pct"/>
          </w:tcPr>
          <w:p w14:paraId="6B3362B4" w14:textId="77777777" w:rsidR="00B43027" w:rsidRDefault="00000000">
            <w:pPr>
              <w:jc w:val="center"/>
            </w:pPr>
            <w:r>
              <w:t xml:space="preserve">51-75 </w:t>
            </w:r>
          </w:p>
        </w:tc>
        <w:tc>
          <w:tcPr>
            <w:tcW w:w="1250" w:type="pct"/>
          </w:tcPr>
          <w:p w14:paraId="2D5E739A" w14:textId="77777777" w:rsidR="00B43027" w:rsidRDefault="00000000">
            <w:pPr>
              <w:jc w:val="center"/>
            </w:pPr>
            <w:r>
              <w:t xml:space="preserve">13 </w:t>
            </w:r>
          </w:p>
        </w:tc>
        <w:tc>
          <w:tcPr>
            <w:tcW w:w="1250" w:type="pct"/>
          </w:tcPr>
          <w:p w14:paraId="1B85971E" w14:textId="77777777" w:rsidR="00B43027" w:rsidRDefault="00000000">
            <w:pPr>
              <w:jc w:val="center"/>
            </w:pPr>
            <w:r>
              <w:t xml:space="preserve">8 </w:t>
            </w:r>
          </w:p>
        </w:tc>
        <w:tc>
          <w:tcPr>
            <w:tcW w:w="1250" w:type="pct"/>
          </w:tcPr>
          <w:p w14:paraId="6F0307E7" w14:textId="77777777" w:rsidR="00B43027" w:rsidRDefault="00000000">
            <w:pPr>
              <w:jc w:val="center"/>
            </w:pPr>
            <w:r>
              <w:t xml:space="preserve">8 </w:t>
            </w:r>
          </w:p>
        </w:tc>
      </w:tr>
      <w:tr w:rsidR="00B43027" w14:paraId="5E964295" w14:textId="77777777">
        <w:tc>
          <w:tcPr>
            <w:tcW w:w="1250" w:type="pct"/>
          </w:tcPr>
          <w:p w14:paraId="28A5BB4F" w14:textId="77777777" w:rsidR="00B43027" w:rsidRDefault="00000000">
            <w:pPr>
              <w:jc w:val="center"/>
            </w:pPr>
            <w:r>
              <w:t xml:space="preserve">76-100 </w:t>
            </w:r>
          </w:p>
        </w:tc>
        <w:tc>
          <w:tcPr>
            <w:tcW w:w="1250" w:type="pct"/>
          </w:tcPr>
          <w:p w14:paraId="790F7F8A" w14:textId="77777777" w:rsidR="00B43027" w:rsidRDefault="00000000">
            <w:pPr>
              <w:jc w:val="center"/>
            </w:pPr>
            <w:r>
              <w:t xml:space="preserve">17 </w:t>
            </w:r>
          </w:p>
        </w:tc>
        <w:tc>
          <w:tcPr>
            <w:tcW w:w="1250" w:type="pct"/>
          </w:tcPr>
          <w:p w14:paraId="629CDA06" w14:textId="77777777" w:rsidR="00B43027" w:rsidRDefault="00000000">
            <w:pPr>
              <w:jc w:val="center"/>
            </w:pPr>
            <w:r>
              <w:t xml:space="preserve">10 </w:t>
            </w:r>
          </w:p>
        </w:tc>
        <w:tc>
          <w:tcPr>
            <w:tcW w:w="1250" w:type="pct"/>
          </w:tcPr>
          <w:p w14:paraId="366512FD" w14:textId="77777777" w:rsidR="00B43027" w:rsidRDefault="00000000">
            <w:pPr>
              <w:jc w:val="center"/>
            </w:pPr>
            <w:r>
              <w:t xml:space="preserve">13 </w:t>
            </w:r>
          </w:p>
        </w:tc>
      </w:tr>
      <w:tr w:rsidR="00B43027" w14:paraId="4495FEB2" w14:textId="77777777">
        <w:tc>
          <w:tcPr>
            <w:tcW w:w="1250" w:type="pct"/>
          </w:tcPr>
          <w:p w14:paraId="458543B1" w14:textId="77777777" w:rsidR="00B43027" w:rsidRDefault="00000000">
            <w:pPr>
              <w:jc w:val="center"/>
            </w:pPr>
            <w:r>
              <w:t xml:space="preserve">101-150 </w:t>
            </w:r>
          </w:p>
        </w:tc>
        <w:tc>
          <w:tcPr>
            <w:tcW w:w="1250" w:type="pct"/>
          </w:tcPr>
          <w:p w14:paraId="2482B6EB" w14:textId="77777777" w:rsidR="00B43027" w:rsidRDefault="00000000">
            <w:pPr>
              <w:jc w:val="center"/>
            </w:pPr>
            <w:r>
              <w:t xml:space="preserve">25 </w:t>
            </w:r>
          </w:p>
        </w:tc>
        <w:tc>
          <w:tcPr>
            <w:tcW w:w="1250" w:type="pct"/>
          </w:tcPr>
          <w:p w14:paraId="45B01223" w14:textId="77777777" w:rsidR="00B43027" w:rsidRDefault="00000000">
            <w:pPr>
              <w:jc w:val="center"/>
            </w:pPr>
            <w:r>
              <w:t xml:space="preserve">15 </w:t>
            </w:r>
          </w:p>
        </w:tc>
        <w:tc>
          <w:tcPr>
            <w:tcW w:w="1250" w:type="pct"/>
          </w:tcPr>
          <w:p w14:paraId="0EB4AE79" w14:textId="77777777" w:rsidR="00B43027" w:rsidRDefault="00000000">
            <w:pPr>
              <w:jc w:val="center"/>
            </w:pPr>
            <w:r>
              <w:t xml:space="preserve">19 </w:t>
            </w:r>
          </w:p>
        </w:tc>
      </w:tr>
      <w:tr w:rsidR="00B43027" w14:paraId="6D396069" w14:textId="77777777">
        <w:tc>
          <w:tcPr>
            <w:tcW w:w="1250" w:type="pct"/>
          </w:tcPr>
          <w:p w14:paraId="4958C8FB" w14:textId="77777777" w:rsidR="00B43027" w:rsidRDefault="00000000">
            <w:pPr>
              <w:jc w:val="center"/>
            </w:pPr>
            <w:r>
              <w:t xml:space="preserve">151-200 </w:t>
            </w:r>
          </w:p>
        </w:tc>
        <w:tc>
          <w:tcPr>
            <w:tcW w:w="1250" w:type="pct"/>
          </w:tcPr>
          <w:p w14:paraId="6E23289C" w14:textId="77777777" w:rsidR="00B43027" w:rsidRDefault="00000000">
            <w:pPr>
              <w:jc w:val="center"/>
            </w:pPr>
            <w:r>
              <w:t xml:space="preserve">35 </w:t>
            </w:r>
          </w:p>
        </w:tc>
        <w:tc>
          <w:tcPr>
            <w:tcW w:w="1250" w:type="pct"/>
          </w:tcPr>
          <w:p w14:paraId="55D9EA4C" w14:textId="77777777" w:rsidR="00B43027" w:rsidRDefault="00000000">
            <w:pPr>
              <w:jc w:val="center"/>
            </w:pPr>
            <w:r>
              <w:t xml:space="preserve">20 </w:t>
            </w:r>
          </w:p>
        </w:tc>
        <w:tc>
          <w:tcPr>
            <w:tcW w:w="1250" w:type="pct"/>
          </w:tcPr>
          <w:p w14:paraId="23FE48BE" w14:textId="77777777" w:rsidR="00B43027" w:rsidRDefault="00000000">
            <w:pPr>
              <w:jc w:val="center"/>
            </w:pPr>
            <w:r>
              <w:t xml:space="preserve">26 </w:t>
            </w:r>
          </w:p>
        </w:tc>
      </w:tr>
      <w:tr w:rsidR="00B43027" w14:paraId="7F4D0DE7" w14:textId="77777777">
        <w:tc>
          <w:tcPr>
            <w:tcW w:w="1250" w:type="pct"/>
          </w:tcPr>
          <w:p w14:paraId="4D348F9C" w14:textId="77777777" w:rsidR="00B43027" w:rsidRDefault="00000000">
            <w:pPr>
              <w:jc w:val="center"/>
            </w:pPr>
            <w:r>
              <w:t xml:space="preserve">201 and over </w:t>
            </w:r>
          </w:p>
        </w:tc>
        <w:tc>
          <w:tcPr>
            <w:tcW w:w="1250" w:type="pct"/>
          </w:tcPr>
          <w:p w14:paraId="74762A10" w14:textId="77777777" w:rsidR="00B43027" w:rsidRDefault="00000000">
            <w:pPr>
              <w:jc w:val="center"/>
            </w:pPr>
            <w:r>
              <w:t>20 percent of actual parking spaces</w:t>
            </w:r>
            <w:r>
              <w:rPr>
                <w:vertAlign w:val="superscript"/>
              </w:rPr>
              <w:t xml:space="preserve">1 </w:t>
            </w:r>
          </w:p>
        </w:tc>
        <w:tc>
          <w:tcPr>
            <w:tcW w:w="1250" w:type="pct"/>
          </w:tcPr>
          <w:p w14:paraId="74389235" w14:textId="77777777" w:rsidR="00B43027" w:rsidRDefault="00000000">
            <w:pPr>
              <w:jc w:val="center"/>
            </w:pPr>
            <w:r>
              <w:t>50 percent of EV capable spaces</w:t>
            </w:r>
            <w:r>
              <w:rPr>
                <w:vertAlign w:val="superscript"/>
              </w:rPr>
              <w:t xml:space="preserve">1 </w:t>
            </w:r>
          </w:p>
        </w:tc>
        <w:tc>
          <w:tcPr>
            <w:tcW w:w="1250" w:type="pct"/>
          </w:tcPr>
          <w:p w14:paraId="394DF8C2" w14:textId="77777777" w:rsidR="00B43027" w:rsidRDefault="00000000">
            <w:pPr>
              <w:jc w:val="center"/>
            </w:pPr>
            <w:r>
              <w:t>75 percent of EV capable spaces</w:t>
            </w:r>
            <w:r>
              <w:rPr>
                <w:vertAlign w:val="superscript"/>
              </w:rPr>
              <w:t xml:space="preserve">1 </w:t>
            </w:r>
          </w:p>
        </w:tc>
      </w:tr>
    </w:tbl>
    <w:p w14:paraId="4A1B588B" w14:textId="77777777" w:rsidR="00B43027" w:rsidRDefault="00B43027"/>
    <w:p w14:paraId="1620AFA1" w14:textId="77777777" w:rsidR="00B43027" w:rsidRDefault="00000000">
      <w:pPr>
        <w:pStyle w:val="Block1"/>
      </w:pPr>
      <w:r>
        <w:rPr>
          <w:vertAlign w:val="superscript"/>
        </w:rPr>
        <w:t xml:space="preserve">1 </w:t>
      </w:r>
      <w:r>
        <w:t xml:space="preserve">Calculation for spaces shall be rounded up to the nearest whole number. </w:t>
      </w:r>
    </w:p>
    <w:p w14:paraId="7EFE72E0" w14:textId="77777777" w:rsidR="00B43027" w:rsidRDefault="00000000">
      <w:pPr>
        <w:pStyle w:val="Block1"/>
      </w:pPr>
      <w:r>
        <w:rPr>
          <w:vertAlign w:val="superscript"/>
        </w:rPr>
        <w:t xml:space="preserve">2 </w:t>
      </w:r>
      <w:r>
        <w:t xml:space="preserve">Each EVCS shall reduce the number of required EV capable spaces by the same number. </w:t>
      </w:r>
    </w:p>
    <w:p w14:paraId="0289EED8" w14:textId="77777777" w:rsidR="00B43027" w:rsidRDefault="00000000">
      <w:r>
        <w:rPr>
          <w:vertAlign w:val="superscript"/>
        </w:rPr>
        <w:t xml:space="preserve">3 </w:t>
      </w:r>
      <w:r>
        <w:t xml:space="preserve">At least one Level 2 EVSE shall be provided. </w:t>
      </w:r>
    </w:p>
    <w:p w14:paraId="009C8481" w14:textId="77777777" w:rsidR="00B43027" w:rsidRDefault="00000000">
      <w:pPr>
        <w:pStyle w:val="List2"/>
      </w:pPr>
      <w:r>
        <w:t>(</w:t>
      </w:r>
      <w:proofErr w:type="spellStart"/>
      <w:r>
        <w:t>i</w:t>
      </w:r>
      <w:proofErr w:type="spellEnd"/>
      <w:r>
        <w:t>)</w:t>
      </w:r>
      <w:r>
        <w:tab/>
        <w:t>Section 5.408.1 (Construction waste management) of</w:t>
      </w:r>
      <w:r w:rsidRPr="0034261A">
        <w:rPr>
          <w:b/>
          <w:bCs/>
        </w:rPr>
        <w:t xml:space="preserve"> CGBSC Chapter 5 Nonresidential Mandatory Measures</w:t>
      </w:r>
      <w:r>
        <w:t xml:space="preserve">) is amended to read: </w:t>
      </w:r>
    </w:p>
    <w:p w14:paraId="0F93E68A" w14:textId="77777777" w:rsidR="00B43027" w:rsidRDefault="00000000">
      <w:pPr>
        <w:pStyle w:val="Block3"/>
      </w:pPr>
      <w:r>
        <w:rPr>
          <w:b/>
        </w:rPr>
        <w:t>Section 5.408.1 Construction waste management.</w:t>
      </w:r>
      <w:r>
        <w:t xml:space="preserve"> Recycle and/or salvage for reuse a minimum of 65 percent of the nonhazardous construction and demolition waste in accordance with Section 5.408.1.1. </w:t>
      </w:r>
    </w:p>
    <w:p w14:paraId="380003E9" w14:textId="77777777" w:rsidR="00B43027" w:rsidRDefault="00000000">
      <w:pPr>
        <w:pStyle w:val="Block3"/>
      </w:pPr>
      <w:r>
        <w:t xml:space="preserve">Exceptions: </w:t>
      </w:r>
    </w:p>
    <w:p w14:paraId="73A2C8CE" w14:textId="77777777" w:rsidR="00B43027" w:rsidRDefault="00000000">
      <w:pPr>
        <w:pStyle w:val="List3"/>
      </w:pPr>
      <w:r>
        <w:t>1.</w:t>
      </w:r>
      <w:r>
        <w:tab/>
        <w:t xml:space="preserve">Excavated soil and land-clearing debris. </w:t>
      </w:r>
    </w:p>
    <w:p w14:paraId="46FE7DF9" w14:textId="77777777" w:rsidR="00B43027" w:rsidRDefault="00000000">
      <w:pPr>
        <w:pStyle w:val="List3"/>
      </w:pPr>
      <w:r>
        <w:t>2.</w:t>
      </w:r>
      <w:r>
        <w:tab/>
        <w:t xml:space="preserve">The enforcing agency may identify alternate waste reduction requirements if the agency determines that an owner or contractor has adequately demonstrated that diversion facilities necessary for the owner to comply with this section do not exist. </w:t>
      </w:r>
    </w:p>
    <w:p w14:paraId="2C338C1B" w14:textId="77777777" w:rsidR="00B43027" w:rsidRDefault="00000000">
      <w:pPr>
        <w:pStyle w:val="List2"/>
      </w:pPr>
      <w:r>
        <w:t>(j)</w:t>
      </w:r>
      <w:r>
        <w:tab/>
        <w:t xml:space="preserve">Section 5.408.1.1 (Construction waste management plan) of CGBSC Chapter 5 Nonresidential Mandatory Measures) is amended to read: </w:t>
      </w:r>
    </w:p>
    <w:p w14:paraId="5092A8B2" w14:textId="77777777" w:rsidR="00B43027" w:rsidRDefault="00000000">
      <w:pPr>
        <w:pStyle w:val="Block3"/>
      </w:pPr>
      <w:r>
        <w:rPr>
          <w:b/>
        </w:rPr>
        <w:t>Section 5.408.1.1 Construction waste management plan.</w:t>
      </w:r>
      <w:r>
        <w:t xml:space="preserve"> Submit a construction waste management plan for the project in conformance with Items 1 through 5 prior to issuance of a building permit. The construction waste management plan shall be updated as necessary, subject to approval by the enforcing agency. The approved plan, and any updates, shall be available during construction for examination by the enforcing agency. The plan must do all of the following: </w:t>
      </w:r>
    </w:p>
    <w:p w14:paraId="255E9A0B" w14:textId="77777777" w:rsidR="00B43027" w:rsidRDefault="00000000">
      <w:pPr>
        <w:pStyle w:val="List3"/>
      </w:pPr>
      <w:r>
        <w:t>1.</w:t>
      </w:r>
      <w:r>
        <w:tab/>
        <w:t xml:space="preserve">Identify the construction and demolition waste materials to be diverted from disposal by recycling, reuse on the project, or salvage for future use or sale. </w:t>
      </w:r>
    </w:p>
    <w:p w14:paraId="3948689F" w14:textId="77777777" w:rsidR="00B43027" w:rsidRDefault="00000000">
      <w:pPr>
        <w:pStyle w:val="List3"/>
      </w:pPr>
      <w:r>
        <w:t>2.</w:t>
      </w:r>
      <w:r>
        <w:tab/>
        <w:t xml:space="preserve">Specify if construction and demolition waste materials will be sorted on-site (source-separated) or bulk mixed (single stream). </w:t>
      </w:r>
    </w:p>
    <w:p w14:paraId="29E26053" w14:textId="77777777" w:rsidR="00B43027" w:rsidRDefault="00000000">
      <w:pPr>
        <w:pStyle w:val="List3"/>
      </w:pPr>
      <w:r>
        <w:t>3.</w:t>
      </w:r>
      <w:r>
        <w:tab/>
        <w:t xml:space="preserve">Identify diversion and disposal facilities where the construction and demolition waste material will be taken and identify the waste management companies, if any, that will be utilized to haul </w:t>
      </w:r>
      <w:r>
        <w:lastRenderedPageBreak/>
        <w:t xml:space="preserve">the construction and demolition waste material. A waste management company utilized to haul construction and demolition waste material must have all applicable County approvals. </w:t>
      </w:r>
    </w:p>
    <w:p w14:paraId="6C960B58" w14:textId="77777777" w:rsidR="00B43027" w:rsidRDefault="00000000">
      <w:pPr>
        <w:pStyle w:val="List3"/>
      </w:pPr>
      <w:r>
        <w:t>4.</w:t>
      </w:r>
      <w:r>
        <w:tab/>
        <w:t xml:space="preserve">Identify construction methods employed to reduce the amount of construction and demolition waste generated. </w:t>
      </w:r>
    </w:p>
    <w:p w14:paraId="533E1BD7" w14:textId="77777777" w:rsidR="00B43027" w:rsidRDefault="00000000">
      <w:pPr>
        <w:pStyle w:val="List3"/>
      </w:pPr>
      <w:r>
        <w:t>5.</w:t>
      </w:r>
      <w:r>
        <w:tab/>
        <w:t xml:space="preserve">Specify that the amount of construction and demolition debris shall be calculated consistent with the enforcing agency's requirements for the weighing of debris. The owner shall ensure that all construction and demolition debris diverted or disposed are measured and recorded by weight or volume using the most accurate method of measurement available. To the extent practicable, all construction and demolition debris shall be weighed using scales. Scales shall be in compliance with all regulatory requirements for accuracy and maintenance. For construction and demolition debris for which weighing is not possible due to lack of scales, or not practical due to materials being reused on-site or elsewhere, or not practical due to other considerations, and upon approval by the enforcing agency, a volumetric measurement shall be used. The owner shall convert volumetric measurements to weight using the standardized conversion factors approved by the enforcing agency for this purpose. </w:t>
      </w:r>
    </w:p>
    <w:p w14:paraId="10BEDE1A" w14:textId="77777777" w:rsidR="00B43027" w:rsidRDefault="00000000">
      <w:pPr>
        <w:pStyle w:val="List2"/>
      </w:pPr>
      <w:r>
        <w:t>(k)</w:t>
      </w:r>
      <w:r>
        <w:tab/>
      </w:r>
      <w:r w:rsidRPr="0034261A">
        <w:rPr>
          <w:highlight w:val="yellow"/>
        </w:rPr>
        <w:t>Section 5.408.1.2 (Waste management company) of CGBSC Chapter 5 (Nonresidential Mandatory Measures) is deleted.</w:t>
      </w:r>
      <w:r>
        <w:t xml:space="preserve"> </w:t>
      </w:r>
    </w:p>
    <w:p w14:paraId="055B3A81" w14:textId="77777777" w:rsidR="00B43027" w:rsidRDefault="00000000">
      <w:pPr>
        <w:pStyle w:val="List2"/>
      </w:pPr>
      <w:r>
        <w:t>(l)</w:t>
      </w:r>
      <w:r>
        <w:tab/>
        <w:t xml:space="preserve">Section 5.408.1.4 (Documentation) of CGBSC Chapter 5 (Nonresidential Mandatory Measures) is amended to read: </w:t>
      </w:r>
    </w:p>
    <w:p w14:paraId="17E01D0A" w14:textId="77777777" w:rsidR="00B43027" w:rsidRDefault="00000000">
      <w:pPr>
        <w:pStyle w:val="Block3"/>
      </w:pPr>
      <w:r>
        <w:rPr>
          <w:b/>
        </w:rPr>
        <w:t>Section 5.408.1.4 Documentation.</w:t>
      </w:r>
      <w:r>
        <w:t xml:space="preserve"> A construction waste management final report containing information and supporting documentation that demonstrates compliance with Section 5.408.1, Section 5.408.1.1, Items 1 through 5, and, when applicable, Section 5.408.1.3, shall be provided to the enforcing agency before the final inspection. The required documentation shall include, but may not necessarily be limited to, the following: </w:t>
      </w:r>
    </w:p>
    <w:p w14:paraId="0BC6C8A0" w14:textId="77777777" w:rsidR="00B43027" w:rsidRDefault="00000000">
      <w:pPr>
        <w:pStyle w:val="List3"/>
      </w:pPr>
      <w:r>
        <w:t>1.</w:t>
      </w:r>
      <w:r>
        <w:tab/>
        <w:t xml:space="preserve">Documentation of the quantity, by weight, of each material type diverted or disposed, consistent with the requirements of Section 5.408.1.1, Item 5, and receipts or written certification from all receiving facilities utilized to divert or dispose of waste generated by the project that substantiate the amounts specified on the construction waste management final report; or </w:t>
      </w:r>
    </w:p>
    <w:p w14:paraId="640B5A3F" w14:textId="77777777" w:rsidR="00B43027" w:rsidRDefault="00000000">
      <w:pPr>
        <w:pStyle w:val="List3"/>
      </w:pPr>
      <w:r>
        <w:t>2.</w:t>
      </w:r>
      <w:r>
        <w:tab/>
        <w:t xml:space="preserve">For projects that satisfy the waste stream reduction alternative specified in Section 5.408.1.3, documentation of the quantity, by weight, of each new construction material type disposed and the total combined weight of new construction waste disposed as a result of the project, the corresponding pounds of new construction disposal per square foot of the building area, and receipts or written certification from all receiving facilities utilized to dispose of waste generated by the project that substantiate the amounts specified on the construction waste management final report. </w:t>
      </w:r>
    </w:p>
    <w:p w14:paraId="2291FE9A" w14:textId="77777777" w:rsidR="00B43027" w:rsidRDefault="00000000">
      <w:pPr>
        <w:pStyle w:val="HistoryNote"/>
      </w:pPr>
      <w:r>
        <w:t>(</w:t>
      </w:r>
      <w:proofErr w:type="spellStart"/>
      <w:r>
        <w:t>Ords</w:t>
      </w:r>
      <w:proofErr w:type="spellEnd"/>
      <w:r>
        <w:t>. 2019-31 § III, 2016-22 § III)</w:t>
      </w:r>
    </w:p>
    <w:p w14:paraId="55E11A02" w14:textId="77777777" w:rsidR="00B43027" w:rsidRDefault="00000000">
      <w:pPr>
        <w:pStyle w:val="HistoryNote"/>
      </w:pPr>
      <w:r>
        <w:t>(Ord. No. 2025-19, § III, 11-4-25; Ord. No. 2022-35, § III, 10-25-22)</w:t>
      </w:r>
    </w:p>
    <w:p w14:paraId="37AFA42E" w14:textId="77777777" w:rsidR="00B43027" w:rsidRDefault="00B43027">
      <w:pPr>
        <w:spacing w:before="0" w:after="0"/>
      </w:pPr>
    </w:p>
    <w:sectPr w:rsidR="00B43027">
      <w:headerReference w:type="default" r:id="rId7"/>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C343" w14:textId="77777777" w:rsidR="00BD2D76" w:rsidRDefault="00BD2D76">
      <w:pPr>
        <w:spacing w:before="0" w:after="0"/>
      </w:pPr>
      <w:r>
        <w:separator/>
      </w:r>
    </w:p>
  </w:endnote>
  <w:endnote w:type="continuationSeparator" w:id="0">
    <w:p w14:paraId="2C6A9A01" w14:textId="77777777" w:rsidR="00BD2D76" w:rsidRDefault="00BD2D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8481" w14:textId="77777777" w:rsidR="00B43027" w:rsidRDefault="00B43027">
    <w:pPr>
      <w:pStyle w:val="FooterCenter"/>
      <w:pBdr>
        <w:bottom w:val="single" w:sz="4" w:space="0" w:color="auto"/>
      </w:pBdr>
    </w:pPr>
  </w:p>
  <w:p w14:paraId="51B51D75" w14:textId="77777777" w:rsidR="00B43027" w:rsidRDefault="00000000">
    <w:pPr>
      <w:pStyle w:val="FooterLeft"/>
    </w:pPr>
    <w:r>
      <w:tab/>
    </w:r>
    <w:r>
      <w:rPr>
        <w:rFonts w:ascii="Consolas" w:eastAsia="Consolas" w:hAnsi="Consolas" w:cs="Consolas"/>
        <w:sz w:val="12"/>
      </w:rPr>
      <w:t xml:space="preserve">   Created: 2026-04-26 19:18:00 [EST]</w:t>
    </w:r>
  </w:p>
  <w:p w14:paraId="2C37EE1E" w14:textId="77777777" w:rsidR="00B43027" w:rsidRDefault="00000000">
    <w:pPr>
      <w:pStyle w:val="FooterLeft"/>
    </w:pPr>
    <w:r>
      <w:t>(Supp. No. 103, Update 2)</w:t>
    </w:r>
  </w:p>
  <w:p w14:paraId="78B6BBDA" w14:textId="77777777" w:rsidR="00B43027" w:rsidRDefault="00000000">
    <w:pPr>
      <w:pStyle w:val="FooterCenter"/>
    </w:pPr>
    <w:r>
      <w:cr/>
      <w:t xml:space="preserve">Page </w:t>
    </w:r>
    <w:r>
      <w:fldChar w:fldCharType="begin"/>
    </w:r>
    <w:r>
      <w:instrText>PAGE \* MERGEFORMAT</w:instrText>
    </w:r>
    <w:r>
      <w:fldChar w:fldCharType="separate"/>
    </w:r>
    <w:r w:rsidR="00C978ED">
      <w:rPr>
        <w:noProof/>
      </w:rPr>
      <w:t>1</w:t>
    </w:r>
    <w:r>
      <w:fldChar w:fldCharType="end"/>
    </w:r>
    <w:r>
      <w:t xml:space="preserve"> of </w:t>
    </w:r>
    <w:fldSimple w:instr="NUMPAGES \* MERGEFORMAT">
      <w:r w:rsidR="00C978E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245B" w14:textId="77777777" w:rsidR="00BD2D76" w:rsidRDefault="00BD2D76">
      <w:pPr>
        <w:spacing w:before="0" w:after="0"/>
      </w:pPr>
      <w:r>
        <w:separator/>
      </w:r>
    </w:p>
  </w:footnote>
  <w:footnote w:type="continuationSeparator" w:id="0">
    <w:p w14:paraId="17674007" w14:textId="77777777" w:rsidR="00BD2D76" w:rsidRDefault="00BD2D7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6556" w14:textId="77777777" w:rsidR="00B43027" w:rsidRDefault="00B43027">
    <w:pPr>
      <w:pStyle w:val="HeaderCenter"/>
    </w:pPr>
  </w:p>
  <w:p w14:paraId="2FA16F5B" w14:textId="77777777" w:rsidR="00B43027" w:rsidRDefault="00B43027">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248C89E2"/>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4FE44D2E"/>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13B68742"/>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6E146190"/>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F27C3CA4"/>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374CF28"/>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E82C853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D11EEA2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B17A3252"/>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AF7888"/>
    <w:multiLevelType w:val="multilevel"/>
    <w:tmpl w:val="532ACA40"/>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351301999">
    <w:abstractNumId w:val="8"/>
  </w:num>
  <w:num w:numId="2" w16cid:durableId="1510563247">
    <w:abstractNumId w:val="7"/>
  </w:num>
  <w:num w:numId="3" w16cid:durableId="565578203">
    <w:abstractNumId w:val="6"/>
  </w:num>
  <w:num w:numId="4" w16cid:durableId="1023440758">
    <w:abstractNumId w:val="5"/>
  </w:num>
  <w:num w:numId="5" w16cid:durableId="683820978">
    <w:abstractNumId w:val="4"/>
  </w:num>
  <w:num w:numId="6" w16cid:durableId="253707987">
    <w:abstractNumId w:val="3"/>
  </w:num>
  <w:num w:numId="7" w16cid:durableId="805199678">
    <w:abstractNumId w:val="2"/>
  </w:num>
  <w:num w:numId="8" w16cid:durableId="1628655429">
    <w:abstractNumId w:val="1"/>
  </w:num>
  <w:num w:numId="9" w16cid:durableId="728573857">
    <w:abstractNumId w:val="0"/>
  </w:num>
  <w:num w:numId="10" w16cid:durableId="96874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27"/>
    <w:rsid w:val="001B0EF0"/>
    <w:rsid w:val="0034261A"/>
    <w:rsid w:val="00372F47"/>
    <w:rsid w:val="0048418B"/>
    <w:rsid w:val="00587B0B"/>
    <w:rsid w:val="007809F8"/>
    <w:rsid w:val="00803423"/>
    <w:rsid w:val="00B43027"/>
    <w:rsid w:val="00BD2D76"/>
    <w:rsid w:val="00C978ED"/>
    <w:rsid w:val="00DE0FE9"/>
    <w:rsid w:val="00E3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F4F0"/>
  <w15:docId w15:val="{4C47B0B4-B95B-4277-BEA2-E7D3FC37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Paragraph1">
    <w:name w:val="Paragraph 1"/>
    <w:basedOn w:val="Normal"/>
    <w:uiPriority w:val="7"/>
    <w:qFormat/>
    <w:pPr>
      <w:ind w:firstLine="475"/>
    </w:p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styleId="List2">
    <w:name w:val="List 2"/>
    <w:basedOn w:val="List1"/>
    <w:uiPriority w:val="5"/>
    <w:qFormat/>
    <w:pPr>
      <w:ind w:left="950"/>
    </w:pPr>
  </w:style>
  <w:style w:type="paragraph" w:customStyle="1" w:styleId="Block1">
    <w:name w:val="Block 1"/>
    <w:basedOn w:val="Normal"/>
    <w:uiPriority w:val="3"/>
    <w:qFormat/>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styleId="List3">
    <w:name w:val="List 3"/>
    <w:basedOn w:val="List2"/>
    <w:uiPriority w:val="5"/>
    <w:unhideWhenUsed/>
    <w:qFormat/>
    <w:pPr>
      <w:ind w:left="1425"/>
    </w:pPr>
  </w:style>
  <w:style w:type="paragraph" w:customStyle="1" w:styleId="Block4">
    <w:name w:val="Block 4"/>
    <w:basedOn w:val="Block3"/>
    <w:uiPriority w:val="3"/>
    <w:unhideWhenUsed/>
    <w:qFormat/>
    <w:pPr>
      <w:ind w:left="1440"/>
    </w:pPr>
  </w:style>
  <w:style w:type="paragraph" w:customStyle="1" w:styleId="Block2Center">
    <w:name w:val="Block 2 Center"/>
    <w:basedOn w:val="Block2"/>
    <w:qFormat/>
    <w:pPr>
      <w:jc w:val="center"/>
    </w:pPr>
  </w:style>
  <w:style w:type="table" w:customStyle="1" w:styleId="Table1">
    <w:name w:val="Table 1"/>
    <w:basedOn w:val="TableNormal"/>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HistoryNote">
    <w:name w:val="History Note"/>
    <w:basedOn w:val="Block1"/>
    <w:next w:val="Section"/>
    <w:uiPriority w:val="2"/>
    <w:qFormat/>
    <w:pPr>
      <w:spacing w:after="240"/>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cf1eac51-106e-4505-a75a-95e6767c81a7">
    <w:name w:val="Normal Table_cf1eac51-106e-4505-a75a-95e6767c81a7"/>
    <w:uiPriority w:val="99"/>
    <w:semiHidden/>
    <w:unhideWhenUsed/>
    <w:tblPr>
      <w:tblInd w:w="0" w:type="dxa"/>
      <w:tblCellMar>
        <w:top w:w="0" w:type="dxa"/>
        <w:left w:w="108" w:type="dxa"/>
        <w:bottom w:w="0" w:type="dxa"/>
        <w:right w:w="108" w:type="dxa"/>
      </w:tblCellMar>
    </w:tblPr>
  </w:style>
  <w:style w:type="table" w:styleId="TableGrid">
    <w:name w:val="Table Grid"/>
    <w:basedOn w:val="NormalTablecf1eac51-106e-4505-a75a-95e6767c81a7"/>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8ca4fd02-5b23-4ccb-9159-93f5abe726dc">
    <w:name w:val="Normal Table_8ca4fd02-5b23-4ccb-9159-93f5abe726dc"/>
    <w:uiPriority w:val="99"/>
    <w:semiHidden/>
    <w:unhideWhenUsed/>
    <w:tblPr>
      <w:tblInd w:w="0" w:type="dxa"/>
      <w:tblCellMar>
        <w:top w:w="0" w:type="dxa"/>
        <w:left w:w="108" w:type="dxa"/>
        <w:bottom w:w="0" w:type="dxa"/>
        <w:right w:w="108" w:type="dxa"/>
      </w:tblCellMar>
    </w:tblPr>
  </w:style>
  <w:style w:type="table" w:customStyle="1" w:styleId="Table13b02be9b-6703-4bc5-a609-6e574a350a15">
    <w:name w:val="Table 1_3b02be9b-6703-4bc5-a609-6e574a350a15"/>
    <w:basedOn w:val="NormalTable8ca4fd02-5b23-4ccb-9159-93f5abe726d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3b02be9b-6703-4bc5-a609-6e574a350a15"/>
    <w:uiPriority w:val="99"/>
    <w:tblPr>
      <w:tblInd w:w="590" w:type="dxa"/>
    </w:tblPr>
  </w:style>
  <w:style w:type="table" w:customStyle="1" w:styleId="NormalTableec27e173-e9b6-4b1b-9f37-17905cfc0964">
    <w:name w:val="Normal Table_ec27e173-e9b6-4b1b-9f37-17905cfc0964"/>
    <w:uiPriority w:val="99"/>
    <w:semiHidden/>
    <w:unhideWhenUsed/>
    <w:tblPr>
      <w:tblInd w:w="0" w:type="dxa"/>
      <w:tblCellMar>
        <w:top w:w="0" w:type="dxa"/>
        <w:left w:w="108" w:type="dxa"/>
        <w:bottom w:w="0" w:type="dxa"/>
        <w:right w:w="108" w:type="dxa"/>
      </w:tblCellMar>
    </w:tblPr>
  </w:style>
  <w:style w:type="table" w:customStyle="1" w:styleId="Table141058399-d9bc-4187-b530-691907a29aea">
    <w:name w:val="Table 1_41058399-d9bc-4187-b530-691907a29aea"/>
    <w:basedOn w:val="NormalTableec27e173-e9b6-4b1b-9f37-17905cfc096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3240685-afc2-4857-8872-03c2ddbba551">
    <w:name w:val="Table 2_f3240685-afc2-4857-8872-03c2ddbba551"/>
    <w:basedOn w:val="Table141058399-d9bc-4187-b530-691907a29aea"/>
    <w:uiPriority w:val="99"/>
    <w:tblPr>
      <w:tblInd w:w="590" w:type="dxa"/>
    </w:tblPr>
  </w:style>
  <w:style w:type="table" w:customStyle="1" w:styleId="Table3">
    <w:name w:val="Table 3"/>
    <w:basedOn w:val="Table2f3240685-afc2-4857-8872-03c2ddbba551"/>
    <w:uiPriority w:val="99"/>
    <w:tblPr>
      <w:tblInd w:w="1066" w:type="dxa"/>
    </w:tblPr>
  </w:style>
  <w:style w:type="table" w:customStyle="1" w:styleId="NormalTableb2ef08a3-6188-4367-82ab-135ae5c9adbf">
    <w:name w:val="Normal Table_b2ef08a3-6188-4367-82ab-135ae5c9adbf"/>
    <w:uiPriority w:val="99"/>
    <w:semiHidden/>
    <w:unhideWhenUsed/>
    <w:tblPr>
      <w:tblInd w:w="0" w:type="dxa"/>
      <w:tblCellMar>
        <w:top w:w="0" w:type="dxa"/>
        <w:left w:w="108" w:type="dxa"/>
        <w:bottom w:w="0" w:type="dxa"/>
        <w:right w:w="108" w:type="dxa"/>
      </w:tblCellMar>
    </w:tblPr>
  </w:style>
  <w:style w:type="table" w:customStyle="1" w:styleId="Table1f77c78e7-7869-43ed-91e8-97c27d1e459b">
    <w:name w:val="Table 1_f77c78e7-7869-43ed-91e8-97c27d1e459b"/>
    <w:basedOn w:val="NormalTableb2ef08a3-6188-4367-82ab-135ae5c9adb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8dbde76-e2c9-4a40-be03-4b899f503a89">
    <w:name w:val="Table 2_18dbde76-e2c9-4a40-be03-4b899f503a89"/>
    <w:basedOn w:val="Table1f77c78e7-7869-43ed-91e8-97c27d1e459b"/>
    <w:uiPriority w:val="99"/>
    <w:tblPr>
      <w:tblInd w:w="590" w:type="dxa"/>
    </w:tblPr>
  </w:style>
  <w:style w:type="table" w:customStyle="1" w:styleId="Table34d45cc02-0b59-413e-9a42-4f8fd710d70e">
    <w:name w:val="Table 3_4d45cc02-0b59-413e-9a42-4f8fd710d70e"/>
    <w:basedOn w:val="Table218dbde76-e2c9-4a40-be03-4b899f503a89"/>
    <w:uiPriority w:val="99"/>
    <w:tblPr>
      <w:tblInd w:w="1066" w:type="dxa"/>
    </w:tblPr>
  </w:style>
  <w:style w:type="table" w:customStyle="1" w:styleId="Table4">
    <w:name w:val="Table 4"/>
    <w:basedOn w:val="Table34d45cc02-0b59-413e-9a42-4f8fd710d70e"/>
    <w:uiPriority w:val="99"/>
    <w:tblPr>
      <w:tblInd w:w="1555" w:type="dxa"/>
    </w:tblPr>
  </w:style>
  <w:style w:type="table" w:customStyle="1" w:styleId="NormalTable32ea03a0-0789-4ce2-9363-4f2e4d58a250">
    <w:name w:val="Normal Table_32ea03a0-0789-4ce2-9363-4f2e4d58a250"/>
    <w:uiPriority w:val="99"/>
    <w:semiHidden/>
    <w:unhideWhenUsed/>
    <w:tblPr>
      <w:tblInd w:w="0" w:type="dxa"/>
      <w:tblCellMar>
        <w:top w:w="0" w:type="dxa"/>
        <w:left w:w="108" w:type="dxa"/>
        <w:bottom w:w="0" w:type="dxa"/>
        <w:right w:w="108" w:type="dxa"/>
      </w:tblCellMar>
    </w:tblPr>
  </w:style>
  <w:style w:type="table" w:customStyle="1" w:styleId="Table1ffb22c2e-796f-4405-a248-c70aeaf60a88">
    <w:name w:val="Table 1_ffb22c2e-796f-4405-a248-c70aeaf60a88"/>
    <w:basedOn w:val="NormalTable32ea03a0-0789-4ce2-9363-4f2e4d58a25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4001098-8e86-4cf8-84d2-f48976211191">
    <w:name w:val="Table 2_34001098-8e86-4cf8-84d2-f48976211191"/>
    <w:basedOn w:val="Table1ffb22c2e-796f-4405-a248-c70aeaf60a88"/>
    <w:uiPriority w:val="99"/>
    <w:tblPr>
      <w:tblInd w:w="590" w:type="dxa"/>
    </w:tblPr>
  </w:style>
  <w:style w:type="table" w:customStyle="1" w:styleId="Table311f9d680-18c6-4515-9225-d313b939cfc6">
    <w:name w:val="Table 3_11f9d680-18c6-4515-9225-d313b939cfc6"/>
    <w:basedOn w:val="Table234001098-8e86-4cf8-84d2-f48976211191"/>
    <w:uiPriority w:val="99"/>
    <w:tblPr>
      <w:tblInd w:w="1066" w:type="dxa"/>
    </w:tblPr>
  </w:style>
  <w:style w:type="table" w:customStyle="1" w:styleId="Table481a48dc7-8df9-46bd-b85c-5f243cb83d74">
    <w:name w:val="Table 4_81a48dc7-8df9-46bd-b85c-5f243cb83d74"/>
    <w:basedOn w:val="Table311f9d680-18c6-4515-9225-d313b939cfc6"/>
    <w:uiPriority w:val="99"/>
    <w:tblPr>
      <w:tblInd w:w="1555" w:type="dxa"/>
    </w:tblPr>
  </w:style>
  <w:style w:type="table" w:customStyle="1" w:styleId="Table5">
    <w:name w:val="Table 5"/>
    <w:basedOn w:val="Table481a48dc7-8df9-46bd-b85c-5f243cb83d74"/>
    <w:uiPriority w:val="99"/>
    <w:tblPr>
      <w:tblInd w:w="2030" w:type="dxa"/>
    </w:tblPr>
  </w:style>
  <w:style w:type="table" w:customStyle="1" w:styleId="NormalTable1b06508a-ebcf-499f-b32c-c0e53a7e18e0">
    <w:name w:val="Normal Table_1b06508a-ebcf-499f-b32c-c0e53a7e18e0"/>
    <w:uiPriority w:val="99"/>
    <w:semiHidden/>
    <w:unhideWhenUsed/>
    <w:tblPr>
      <w:tblInd w:w="0" w:type="dxa"/>
      <w:tblCellMar>
        <w:top w:w="0" w:type="dxa"/>
        <w:left w:w="108" w:type="dxa"/>
        <w:bottom w:w="0" w:type="dxa"/>
        <w:right w:w="108" w:type="dxa"/>
      </w:tblCellMar>
    </w:tblPr>
  </w:style>
  <w:style w:type="table" w:customStyle="1" w:styleId="Table11087a69c-c090-4bb7-b7ed-595fed749959">
    <w:name w:val="Table 1_1087a69c-c090-4bb7-b7ed-595fed749959"/>
    <w:basedOn w:val="NormalTable1b06508a-ebcf-499f-b32c-c0e53a7e18e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9ab079c-3129-479d-83e3-5e2cda774f75">
    <w:name w:val="Table 2_89ab079c-3129-479d-83e3-5e2cda774f75"/>
    <w:basedOn w:val="Table11087a69c-c090-4bb7-b7ed-595fed749959"/>
    <w:uiPriority w:val="99"/>
    <w:tblPr>
      <w:tblInd w:w="590" w:type="dxa"/>
    </w:tblPr>
  </w:style>
  <w:style w:type="table" w:customStyle="1" w:styleId="Table32dc90c06-51bb-4745-bb30-49944d35d568">
    <w:name w:val="Table 3_2dc90c06-51bb-4745-bb30-49944d35d568"/>
    <w:basedOn w:val="Table289ab079c-3129-479d-83e3-5e2cda774f75"/>
    <w:uiPriority w:val="99"/>
    <w:tblPr>
      <w:tblInd w:w="1066" w:type="dxa"/>
    </w:tblPr>
  </w:style>
  <w:style w:type="table" w:customStyle="1" w:styleId="Table416fbcb97-ef0b-423b-ac3d-09e15b029b1f">
    <w:name w:val="Table 4_16fbcb97-ef0b-423b-ac3d-09e15b029b1f"/>
    <w:basedOn w:val="Table32dc90c06-51bb-4745-bb30-49944d35d568"/>
    <w:uiPriority w:val="99"/>
    <w:tblPr>
      <w:tblInd w:w="1555" w:type="dxa"/>
    </w:tblPr>
  </w:style>
  <w:style w:type="table" w:customStyle="1" w:styleId="Table5da2fdb52-97a4-4dc2-b4c5-fb437053985d">
    <w:name w:val="Table 5_da2fdb52-97a4-4dc2-b4c5-fb437053985d"/>
    <w:basedOn w:val="Table416fbcb97-ef0b-423b-ac3d-09e15b029b1f"/>
    <w:uiPriority w:val="99"/>
    <w:tblPr>
      <w:tblInd w:w="2030" w:type="dxa"/>
    </w:tblPr>
  </w:style>
  <w:style w:type="table" w:customStyle="1" w:styleId="Table6">
    <w:name w:val="Table 6"/>
    <w:basedOn w:val="Table5da2fdb52-97a4-4dc2-b4c5-fb437053985d"/>
    <w:uiPriority w:val="99"/>
    <w:tblPr>
      <w:tblInd w:w="2506" w:type="dxa"/>
      <w:tblCellMar>
        <w:left w:w="115" w:type="dxa"/>
        <w:right w:w="115" w:type="dxa"/>
      </w:tblCellMar>
    </w:tblPr>
  </w:style>
  <w:style w:type="table" w:customStyle="1" w:styleId="NormalTable144b6a78-c4f5-4730-b516-3bb289a48a19">
    <w:name w:val="Normal Table_144b6a78-c4f5-4730-b516-3bb289a48a19"/>
    <w:uiPriority w:val="99"/>
    <w:semiHidden/>
    <w:unhideWhenUsed/>
    <w:tblPr>
      <w:tblInd w:w="0" w:type="dxa"/>
      <w:tblCellMar>
        <w:top w:w="0" w:type="dxa"/>
        <w:left w:w="108" w:type="dxa"/>
        <w:bottom w:w="0" w:type="dxa"/>
        <w:right w:w="108" w:type="dxa"/>
      </w:tblCellMar>
    </w:tblPr>
  </w:style>
  <w:style w:type="table" w:customStyle="1" w:styleId="Table1c676f92f-28ad-493e-a1e8-7b9da302ed54">
    <w:name w:val="Table 1_c676f92f-28ad-493e-a1e8-7b9da302ed54"/>
    <w:basedOn w:val="NormalTable144b6a78-c4f5-4730-b516-3bb289a48a1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5a542e8-274c-474b-a0f0-86d9260a1374">
    <w:name w:val="Table 2_25a542e8-274c-474b-a0f0-86d9260a1374"/>
    <w:basedOn w:val="Table1c676f92f-28ad-493e-a1e8-7b9da302ed54"/>
    <w:uiPriority w:val="99"/>
    <w:tblPr>
      <w:tblInd w:w="590" w:type="dxa"/>
    </w:tblPr>
  </w:style>
  <w:style w:type="table" w:customStyle="1" w:styleId="Table3ebb85bf8-345c-451b-91d9-a1005cd60f9f">
    <w:name w:val="Table 3_ebb85bf8-345c-451b-91d9-a1005cd60f9f"/>
    <w:basedOn w:val="Table225a542e8-274c-474b-a0f0-86d9260a1374"/>
    <w:uiPriority w:val="99"/>
    <w:tblPr>
      <w:tblInd w:w="1066" w:type="dxa"/>
    </w:tblPr>
  </w:style>
  <w:style w:type="table" w:customStyle="1" w:styleId="Table40efc24b1-4978-4980-a422-27ef1c14bf3d">
    <w:name w:val="Table 4_0efc24b1-4978-4980-a422-27ef1c14bf3d"/>
    <w:basedOn w:val="Table3ebb85bf8-345c-451b-91d9-a1005cd60f9f"/>
    <w:uiPriority w:val="99"/>
    <w:tblPr>
      <w:tblInd w:w="1555" w:type="dxa"/>
    </w:tblPr>
  </w:style>
  <w:style w:type="table" w:customStyle="1" w:styleId="Table5d67d7fed-bd46-463e-8923-02f8fb6cbb34">
    <w:name w:val="Table 5_d67d7fed-bd46-463e-8923-02f8fb6cbb34"/>
    <w:basedOn w:val="Table40efc24b1-4978-4980-a422-27ef1c14bf3d"/>
    <w:uiPriority w:val="99"/>
    <w:tblPr>
      <w:tblInd w:w="2030" w:type="dxa"/>
    </w:tblPr>
  </w:style>
  <w:style w:type="table" w:customStyle="1" w:styleId="Table63ab58e5b-7626-48f3-8650-fbd1c87b11dd">
    <w:name w:val="Table 6_3ab58e5b-7626-48f3-8650-fbd1c87b11dd"/>
    <w:basedOn w:val="Table5d67d7fed-bd46-463e-8923-02f8fb6cbb34"/>
    <w:uiPriority w:val="99"/>
    <w:tblPr>
      <w:tblInd w:w="2506" w:type="dxa"/>
      <w:tblCellMar>
        <w:left w:w="115" w:type="dxa"/>
        <w:right w:w="115" w:type="dxa"/>
      </w:tblCellMar>
    </w:tblPr>
  </w:style>
  <w:style w:type="table" w:customStyle="1" w:styleId="Table7">
    <w:name w:val="Table 7"/>
    <w:basedOn w:val="Table63ab58e5b-7626-48f3-8650-fbd1c87b11dd"/>
    <w:uiPriority w:val="99"/>
    <w:tblPr>
      <w:tblInd w:w="2995" w:type="dxa"/>
    </w:tblPr>
  </w:style>
  <w:style w:type="table" w:customStyle="1" w:styleId="NormalTable701c5984-c868-41c1-bc48-ffa692983f16">
    <w:name w:val="Normal Table_701c5984-c868-41c1-bc48-ffa692983f16"/>
    <w:uiPriority w:val="99"/>
    <w:semiHidden/>
    <w:unhideWhenUsed/>
    <w:tblPr>
      <w:tblInd w:w="0" w:type="dxa"/>
      <w:tblCellMar>
        <w:top w:w="0" w:type="dxa"/>
        <w:left w:w="108" w:type="dxa"/>
        <w:bottom w:w="0" w:type="dxa"/>
        <w:right w:w="108" w:type="dxa"/>
      </w:tblCellMar>
    </w:tblPr>
  </w:style>
  <w:style w:type="table" w:customStyle="1" w:styleId="Table111b888f9-07cd-45fa-bd21-72286fffebc8">
    <w:name w:val="Table 1_11b888f9-07cd-45fa-bd21-72286fffebc8"/>
    <w:basedOn w:val="NormalTable701c5984-c868-41c1-bc48-ffa692983f1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8ae6087-a7d8-4b43-8c37-14ac2e3463b6">
    <w:name w:val="Table 2_68ae6087-a7d8-4b43-8c37-14ac2e3463b6"/>
    <w:basedOn w:val="Table111b888f9-07cd-45fa-bd21-72286fffebc8"/>
    <w:uiPriority w:val="99"/>
    <w:tblPr>
      <w:tblInd w:w="590" w:type="dxa"/>
    </w:tblPr>
  </w:style>
  <w:style w:type="table" w:customStyle="1" w:styleId="Table308eb5194-8793-46d9-bae2-687e524b92dc">
    <w:name w:val="Table 3_08eb5194-8793-46d9-bae2-687e524b92dc"/>
    <w:basedOn w:val="Table268ae6087-a7d8-4b43-8c37-14ac2e3463b6"/>
    <w:uiPriority w:val="99"/>
    <w:tblPr>
      <w:tblInd w:w="1066" w:type="dxa"/>
    </w:tblPr>
  </w:style>
  <w:style w:type="table" w:customStyle="1" w:styleId="Table4b8c87acd-1fc4-454b-9195-04e71c64d734">
    <w:name w:val="Table 4_b8c87acd-1fc4-454b-9195-04e71c64d734"/>
    <w:basedOn w:val="Table308eb5194-8793-46d9-bae2-687e524b92dc"/>
    <w:uiPriority w:val="99"/>
    <w:tblPr>
      <w:tblInd w:w="1555" w:type="dxa"/>
    </w:tblPr>
  </w:style>
  <w:style w:type="table" w:customStyle="1" w:styleId="Table59aa52ce8-40a9-487b-bd1d-e0df245fd72c">
    <w:name w:val="Table 5_9aa52ce8-40a9-487b-bd1d-e0df245fd72c"/>
    <w:basedOn w:val="Table4b8c87acd-1fc4-454b-9195-04e71c64d734"/>
    <w:uiPriority w:val="99"/>
    <w:tblPr>
      <w:tblInd w:w="2030" w:type="dxa"/>
    </w:tblPr>
  </w:style>
  <w:style w:type="table" w:customStyle="1" w:styleId="Table6252d466b-8050-414b-a19a-f6978aa21dc7">
    <w:name w:val="Table 6_252d466b-8050-414b-a19a-f6978aa21dc7"/>
    <w:basedOn w:val="Table59aa52ce8-40a9-487b-bd1d-e0df245fd72c"/>
    <w:uiPriority w:val="99"/>
    <w:tblPr>
      <w:tblInd w:w="2506" w:type="dxa"/>
      <w:tblCellMar>
        <w:left w:w="115" w:type="dxa"/>
        <w:right w:w="115" w:type="dxa"/>
      </w:tblCellMar>
    </w:tblPr>
  </w:style>
  <w:style w:type="table" w:customStyle="1" w:styleId="Table7edd73261-682e-4b11-a0d3-c8494f782e6a">
    <w:name w:val="Table 7_edd73261-682e-4b11-a0d3-c8494f782e6a"/>
    <w:basedOn w:val="Table6252d466b-8050-414b-a19a-f6978aa21dc7"/>
    <w:uiPriority w:val="99"/>
    <w:tblPr>
      <w:tblInd w:w="2995" w:type="dxa"/>
    </w:tblPr>
  </w:style>
  <w:style w:type="table" w:customStyle="1" w:styleId="Table8">
    <w:name w:val="Table 8"/>
    <w:basedOn w:val="Table7edd73261-682e-4b11-a0d3-c8494f782e6a"/>
    <w:uiPriority w:val="99"/>
    <w:tblPr>
      <w:tblInd w:w="3470" w:type="dxa"/>
    </w:tblPr>
  </w:style>
  <w:style w:type="table" w:customStyle="1" w:styleId="NormalTabledbeab313-a690-4205-9efa-748582d459d4">
    <w:name w:val="Normal Table_dbeab313-a690-4205-9efa-748582d459d4"/>
    <w:uiPriority w:val="99"/>
    <w:semiHidden/>
    <w:unhideWhenUsed/>
    <w:tblPr>
      <w:tblInd w:w="0" w:type="dxa"/>
      <w:tblCellMar>
        <w:top w:w="0" w:type="dxa"/>
        <w:left w:w="108" w:type="dxa"/>
        <w:bottom w:w="0" w:type="dxa"/>
        <w:right w:w="108" w:type="dxa"/>
      </w:tblCellMar>
    </w:tblPr>
  </w:style>
  <w:style w:type="table" w:customStyle="1" w:styleId="Table12a4f8c96-baa9-4727-83a6-eee30daf3595">
    <w:name w:val="Table 1_2a4f8c96-baa9-4727-83a6-eee30daf3595"/>
    <w:basedOn w:val="NormalTabledbeab313-a690-4205-9efa-748582d459d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2e3913b-47c9-4adb-9428-fe86135973db">
    <w:name w:val="Table 2_a2e3913b-47c9-4adb-9428-fe86135973db"/>
    <w:basedOn w:val="Table12a4f8c96-baa9-4727-83a6-eee30daf3595"/>
    <w:uiPriority w:val="99"/>
    <w:tblPr>
      <w:tblInd w:w="590" w:type="dxa"/>
    </w:tblPr>
  </w:style>
  <w:style w:type="table" w:customStyle="1" w:styleId="Table33f04ef19-2587-418d-8fd7-0986df6c7de5">
    <w:name w:val="Table 3_3f04ef19-2587-418d-8fd7-0986df6c7de5"/>
    <w:basedOn w:val="Table2a2e3913b-47c9-4adb-9428-fe86135973db"/>
    <w:uiPriority w:val="99"/>
    <w:tblPr>
      <w:tblInd w:w="1066" w:type="dxa"/>
    </w:tblPr>
  </w:style>
  <w:style w:type="table" w:customStyle="1" w:styleId="Table4555e560d-bed5-4688-8e55-9b06050ec60c">
    <w:name w:val="Table 4_555e560d-bed5-4688-8e55-9b06050ec60c"/>
    <w:basedOn w:val="Table33f04ef19-2587-418d-8fd7-0986df6c7de5"/>
    <w:uiPriority w:val="99"/>
    <w:tblPr>
      <w:tblInd w:w="1555" w:type="dxa"/>
    </w:tblPr>
  </w:style>
  <w:style w:type="table" w:customStyle="1" w:styleId="Table5aa26951b-150b-4850-9d50-48b2c7e19864">
    <w:name w:val="Table 5_aa26951b-150b-4850-9d50-48b2c7e19864"/>
    <w:basedOn w:val="Table4555e560d-bed5-4688-8e55-9b06050ec60c"/>
    <w:uiPriority w:val="99"/>
    <w:tblPr>
      <w:tblInd w:w="2030" w:type="dxa"/>
    </w:tblPr>
  </w:style>
  <w:style w:type="table" w:customStyle="1" w:styleId="Table6ecb38fa4-6395-470c-ad9a-06bbed62d02d">
    <w:name w:val="Table 6_ecb38fa4-6395-470c-ad9a-06bbed62d02d"/>
    <w:basedOn w:val="Table5aa26951b-150b-4850-9d50-48b2c7e19864"/>
    <w:uiPriority w:val="99"/>
    <w:tblPr>
      <w:tblInd w:w="2506" w:type="dxa"/>
      <w:tblCellMar>
        <w:left w:w="115" w:type="dxa"/>
        <w:right w:w="115" w:type="dxa"/>
      </w:tblCellMar>
    </w:tblPr>
  </w:style>
  <w:style w:type="table" w:customStyle="1" w:styleId="Table7edca925b-1eb7-4255-90c9-cf90741a8ffd">
    <w:name w:val="Table 7_edca925b-1eb7-4255-90c9-cf90741a8ffd"/>
    <w:basedOn w:val="Table6ecb38fa4-6395-470c-ad9a-06bbed62d02d"/>
    <w:uiPriority w:val="99"/>
    <w:tblPr>
      <w:tblInd w:w="2995" w:type="dxa"/>
    </w:tblPr>
  </w:style>
  <w:style w:type="table" w:customStyle="1" w:styleId="Table8c4040299-a417-45e5-9150-25075354ec4d">
    <w:name w:val="Table 8_c4040299-a417-45e5-9150-25075354ec4d"/>
    <w:basedOn w:val="Table7edca925b-1eb7-4255-90c9-cf90741a8ffd"/>
    <w:uiPriority w:val="99"/>
    <w:tblPr>
      <w:tblInd w:w="3470" w:type="dxa"/>
    </w:tblPr>
  </w:style>
  <w:style w:type="table" w:customStyle="1" w:styleId="Table9">
    <w:name w:val="Table 9"/>
    <w:basedOn w:val="Table8c4040299-a417-45e5-9150-25075354ec4d"/>
    <w:uiPriority w:val="99"/>
    <w:tblPr>
      <w:tblInd w:w="3946" w:type="dxa"/>
    </w:tblPr>
  </w:style>
  <w:style w:type="table" w:customStyle="1" w:styleId="NormalTable91e50d3c-ab59-4a5d-b67e-6bbe8e05a921">
    <w:name w:val="Normal Table_91e50d3c-ab59-4a5d-b67e-6bbe8e05a921"/>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91e50d3c-ab59-4a5d-b67e-6bbe8e05a921"/>
    <w:uiPriority w:val="99"/>
    <w:pPr>
      <w:spacing w:before="0" w:after="0"/>
      <w:jc w:val="left"/>
    </w:pPr>
    <w:tblPr>
      <w:tblCellMar>
        <w:left w:w="0" w:type="dxa"/>
        <w:right w:w="0" w:type="dxa"/>
      </w:tblCellMar>
    </w:tblPr>
    <w:tcPr>
      <w:shd w:val="clear" w:color="auto" w:fill="auto"/>
    </w:tcPr>
  </w:style>
  <w:style w:type="table" w:customStyle="1" w:styleId="NormalTableb58c4732-670b-4f4b-8f92-29e3924c00e1">
    <w:name w:val="Normal Table_b58c4732-670b-4f4b-8f92-29e3924c00e1"/>
    <w:uiPriority w:val="99"/>
    <w:semiHidden/>
    <w:unhideWhenUsed/>
    <w:tblPr>
      <w:tblInd w:w="0" w:type="dxa"/>
      <w:tblCellMar>
        <w:top w:w="0" w:type="dxa"/>
        <w:left w:w="108" w:type="dxa"/>
        <w:bottom w:w="0" w:type="dxa"/>
        <w:right w:w="108" w:type="dxa"/>
      </w:tblCellMar>
    </w:tblPr>
  </w:style>
  <w:style w:type="table" w:customStyle="1" w:styleId="TableNoRule17df7c07c-a5f4-470d-b339-4d39ad884672">
    <w:name w:val="Table NoRule 1_7df7c07c-a5f4-470d-b339-4d39ad884672"/>
    <w:basedOn w:val="NormalTableb58c4732-670b-4f4b-8f92-29e3924c00e1"/>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7df7c07c-a5f4-470d-b339-4d39ad884672"/>
    <w:uiPriority w:val="99"/>
    <w:tblPr>
      <w:tblInd w:w="475" w:type="dxa"/>
    </w:tblPr>
  </w:style>
  <w:style w:type="table" w:customStyle="1" w:styleId="NormalTable4d47d89d-5c06-4b6d-ba32-e27e7a115e4f">
    <w:name w:val="Normal Table_4d47d89d-5c06-4b6d-ba32-e27e7a115e4f"/>
    <w:uiPriority w:val="99"/>
    <w:semiHidden/>
    <w:unhideWhenUsed/>
    <w:tblPr>
      <w:tblInd w:w="0" w:type="dxa"/>
      <w:tblCellMar>
        <w:top w:w="0" w:type="dxa"/>
        <w:left w:w="108" w:type="dxa"/>
        <w:bottom w:w="0" w:type="dxa"/>
        <w:right w:w="108" w:type="dxa"/>
      </w:tblCellMar>
    </w:tblPr>
  </w:style>
  <w:style w:type="table" w:customStyle="1" w:styleId="TableNoRule13edfd16e-7db5-461c-aa43-68ac1703626e">
    <w:name w:val="Table NoRule 1_3edfd16e-7db5-461c-aa43-68ac1703626e"/>
    <w:basedOn w:val="NormalTable4d47d89d-5c06-4b6d-ba32-e27e7a115e4f"/>
    <w:uiPriority w:val="99"/>
    <w:pPr>
      <w:spacing w:before="0" w:after="0"/>
      <w:jc w:val="left"/>
    </w:pPr>
    <w:tblPr>
      <w:tblCellMar>
        <w:left w:w="0" w:type="dxa"/>
        <w:right w:w="0" w:type="dxa"/>
      </w:tblCellMar>
    </w:tblPr>
    <w:tcPr>
      <w:shd w:val="clear" w:color="auto" w:fill="auto"/>
    </w:tcPr>
  </w:style>
  <w:style w:type="table" w:customStyle="1" w:styleId="TableNoRule2a53d1c9a-ccbe-4b7a-b2e1-fa3a00cb5796">
    <w:name w:val="Table NoRule 2_a53d1c9a-ccbe-4b7a-b2e1-fa3a00cb5796"/>
    <w:basedOn w:val="TableNoRule13edfd16e-7db5-461c-aa43-68ac1703626e"/>
    <w:uiPriority w:val="99"/>
    <w:tblPr>
      <w:tblInd w:w="475" w:type="dxa"/>
    </w:tblPr>
  </w:style>
  <w:style w:type="table" w:customStyle="1" w:styleId="TableNoRule3">
    <w:name w:val="Table NoRule 3"/>
    <w:basedOn w:val="TableNoRule2a53d1c9a-ccbe-4b7a-b2e1-fa3a00cb5796"/>
    <w:uiPriority w:val="99"/>
    <w:tblPr>
      <w:tblInd w:w="950" w:type="dxa"/>
    </w:tblPr>
  </w:style>
  <w:style w:type="table" w:customStyle="1" w:styleId="NormalTable19eec298-33b9-4f18-ad59-9016d551b448">
    <w:name w:val="Normal Table_19eec298-33b9-4f18-ad59-9016d551b448"/>
    <w:uiPriority w:val="99"/>
    <w:semiHidden/>
    <w:unhideWhenUsed/>
    <w:tblPr>
      <w:tblInd w:w="0" w:type="dxa"/>
      <w:tblCellMar>
        <w:top w:w="0" w:type="dxa"/>
        <w:left w:w="108" w:type="dxa"/>
        <w:bottom w:w="0" w:type="dxa"/>
        <w:right w:w="108" w:type="dxa"/>
      </w:tblCellMar>
    </w:tblPr>
  </w:style>
  <w:style w:type="table" w:customStyle="1" w:styleId="TableNoRule11fe808d7-7070-47dd-80e7-dca3a0cce113">
    <w:name w:val="Table NoRule 1_1fe808d7-7070-47dd-80e7-dca3a0cce113"/>
    <w:basedOn w:val="NormalTable19eec298-33b9-4f18-ad59-9016d551b448"/>
    <w:uiPriority w:val="99"/>
    <w:pPr>
      <w:spacing w:before="0" w:after="0"/>
      <w:jc w:val="left"/>
    </w:pPr>
    <w:tblPr>
      <w:tblCellMar>
        <w:left w:w="0" w:type="dxa"/>
        <w:right w:w="0" w:type="dxa"/>
      </w:tblCellMar>
    </w:tblPr>
    <w:tcPr>
      <w:shd w:val="clear" w:color="auto" w:fill="auto"/>
    </w:tcPr>
  </w:style>
  <w:style w:type="table" w:customStyle="1" w:styleId="TableNoRule2dabfc2a2-a154-4737-8d9c-5ef13403eb30">
    <w:name w:val="Table NoRule 2_dabfc2a2-a154-4737-8d9c-5ef13403eb30"/>
    <w:basedOn w:val="TableNoRule11fe808d7-7070-47dd-80e7-dca3a0cce113"/>
    <w:uiPriority w:val="99"/>
    <w:tblPr>
      <w:tblInd w:w="475" w:type="dxa"/>
    </w:tblPr>
  </w:style>
  <w:style w:type="table" w:customStyle="1" w:styleId="TableNoRule3635a5e79-1708-4535-8c87-6a9a2fa8e207">
    <w:name w:val="Table NoRule 3_635a5e79-1708-4535-8c87-6a9a2fa8e207"/>
    <w:basedOn w:val="TableNoRule2dabfc2a2-a154-4737-8d9c-5ef13403eb30"/>
    <w:uiPriority w:val="99"/>
    <w:tblPr>
      <w:tblInd w:w="950" w:type="dxa"/>
    </w:tblPr>
  </w:style>
  <w:style w:type="table" w:customStyle="1" w:styleId="TableNoRule4">
    <w:name w:val="Table NoRule 4"/>
    <w:basedOn w:val="TableNoRule3635a5e79-1708-4535-8c87-6a9a2fa8e207"/>
    <w:uiPriority w:val="99"/>
    <w:tblPr>
      <w:tblInd w:w="1440" w:type="dxa"/>
    </w:tblPr>
  </w:style>
  <w:style w:type="table" w:customStyle="1" w:styleId="NormalTablee19e4a35-eb1e-4cf8-9ee9-dd9711abb0ac">
    <w:name w:val="Normal Table_e19e4a35-eb1e-4cf8-9ee9-dd9711abb0ac"/>
    <w:uiPriority w:val="99"/>
    <w:semiHidden/>
    <w:unhideWhenUsed/>
    <w:tblPr>
      <w:tblInd w:w="0" w:type="dxa"/>
      <w:tblCellMar>
        <w:top w:w="0" w:type="dxa"/>
        <w:left w:w="108" w:type="dxa"/>
        <w:bottom w:w="0" w:type="dxa"/>
        <w:right w:w="108" w:type="dxa"/>
      </w:tblCellMar>
    </w:tblPr>
  </w:style>
  <w:style w:type="table" w:customStyle="1" w:styleId="TableNoRule110890271-e680-4734-ba93-d07c18cf05d1">
    <w:name w:val="Table NoRule 1_10890271-e680-4734-ba93-d07c18cf05d1"/>
    <w:basedOn w:val="NormalTablee19e4a35-eb1e-4cf8-9ee9-dd9711abb0ac"/>
    <w:uiPriority w:val="99"/>
    <w:pPr>
      <w:spacing w:before="0" w:after="0"/>
      <w:jc w:val="left"/>
    </w:pPr>
    <w:tblPr>
      <w:tblCellMar>
        <w:left w:w="0" w:type="dxa"/>
        <w:right w:w="0" w:type="dxa"/>
      </w:tblCellMar>
    </w:tblPr>
    <w:tcPr>
      <w:shd w:val="clear" w:color="auto" w:fill="auto"/>
    </w:tcPr>
  </w:style>
  <w:style w:type="table" w:customStyle="1" w:styleId="TableNoRule2999152a9-2a79-4a86-ac52-51e35793381c">
    <w:name w:val="Table NoRule 2_999152a9-2a79-4a86-ac52-51e35793381c"/>
    <w:basedOn w:val="TableNoRule110890271-e680-4734-ba93-d07c18cf05d1"/>
    <w:uiPriority w:val="99"/>
    <w:tblPr>
      <w:tblInd w:w="475" w:type="dxa"/>
    </w:tblPr>
  </w:style>
  <w:style w:type="table" w:customStyle="1" w:styleId="TableNoRule32ae82aaf-36e0-4515-80b0-7a07e3231472">
    <w:name w:val="Table NoRule 3_2ae82aaf-36e0-4515-80b0-7a07e3231472"/>
    <w:basedOn w:val="TableNoRule2999152a9-2a79-4a86-ac52-51e35793381c"/>
    <w:uiPriority w:val="99"/>
    <w:tblPr>
      <w:tblInd w:w="950" w:type="dxa"/>
    </w:tblPr>
  </w:style>
  <w:style w:type="table" w:customStyle="1" w:styleId="TableNoRule4ed6bf76e-9ac7-4c50-ad74-c34751f8f1fe">
    <w:name w:val="Table NoRule 4_ed6bf76e-9ac7-4c50-ad74-c34751f8f1fe"/>
    <w:basedOn w:val="TableNoRule32ae82aaf-36e0-4515-80b0-7a07e3231472"/>
    <w:uiPriority w:val="99"/>
    <w:tblPr>
      <w:tblInd w:w="1440" w:type="dxa"/>
    </w:tblPr>
  </w:style>
  <w:style w:type="table" w:customStyle="1" w:styleId="TableNoRule5">
    <w:name w:val="Table NoRule 5"/>
    <w:basedOn w:val="TableNoRule4ed6bf76e-9ac7-4c50-ad74-c34751f8f1fe"/>
    <w:uiPriority w:val="99"/>
    <w:tblPr>
      <w:tblInd w:w="1915" w:type="dxa"/>
    </w:tblPr>
  </w:style>
  <w:style w:type="table" w:customStyle="1" w:styleId="NormalTable70431f1d-c6a4-4927-94b8-53e2a011c93e">
    <w:name w:val="Normal Table_70431f1d-c6a4-4927-94b8-53e2a011c93e"/>
    <w:uiPriority w:val="99"/>
    <w:semiHidden/>
    <w:unhideWhenUsed/>
    <w:tblPr>
      <w:tblInd w:w="0" w:type="dxa"/>
      <w:tblCellMar>
        <w:top w:w="0" w:type="dxa"/>
        <w:left w:w="108" w:type="dxa"/>
        <w:bottom w:w="0" w:type="dxa"/>
        <w:right w:w="108" w:type="dxa"/>
      </w:tblCellMar>
    </w:tblPr>
  </w:style>
  <w:style w:type="table" w:customStyle="1" w:styleId="TableNoRule1e05de9ec-bbaa-4e55-8a84-12e4593f6f71">
    <w:name w:val="Table NoRule 1_e05de9ec-bbaa-4e55-8a84-12e4593f6f71"/>
    <w:basedOn w:val="NormalTable70431f1d-c6a4-4927-94b8-53e2a011c93e"/>
    <w:uiPriority w:val="99"/>
    <w:pPr>
      <w:spacing w:before="0" w:after="0"/>
      <w:jc w:val="left"/>
    </w:pPr>
    <w:tblPr>
      <w:tblCellMar>
        <w:left w:w="0" w:type="dxa"/>
        <w:right w:w="0" w:type="dxa"/>
      </w:tblCellMar>
    </w:tblPr>
    <w:tcPr>
      <w:shd w:val="clear" w:color="auto" w:fill="auto"/>
    </w:tcPr>
  </w:style>
  <w:style w:type="table" w:customStyle="1" w:styleId="TableNoRule26ffab879-a417-4c51-b28f-263b39d4942b">
    <w:name w:val="Table NoRule 2_6ffab879-a417-4c51-b28f-263b39d4942b"/>
    <w:basedOn w:val="TableNoRule1e05de9ec-bbaa-4e55-8a84-12e4593f6f71"/>
    <w:uiPriority w:val="99"/>
    <w:tblPr>
      <w:tblInd w:w="475" w:type="dxa"/>
    </w:tblPr>
  </w:style>
  <w:style w:type="table" w:customStyle="1" w:styleId="TableNoRule38efdcaaf-634e-4b6b-bbfd-601df018ba35">
    <w:name w:val="Table NoRule 3_8efdcaaf-634e-4b6b-bbfd-601df018ba35"/>
    <w:basedOn w:val="TableNoRule26ffab879-a417-4c51-b28f-263b39d4942b"/>
    <w:uiPriority w:val="99"/>
    <w:tblPr>
      <w:tblInd w:w="950" w:type="dxa"/>
    </w:tblPr>
  </w:style>
  <w:style w:type="table" w:customStyle="1" w:styleId="TableNoRule4b22d3bfc-9fed-400d-87e8-eb10ca5b5944">
    <w:name w:val="Table NoRule 4_b22d3bfc-9fed-400d-87e8-eb10ca5b5944"/>
    <w:basedOn w:val="TableNoRule38efdcaaf-634e-4b6b-bbfd-601df018ba35"/>
    <w:uiPriority w:val="99"/>
    <w:tblPr>
      <w:tblInd w:w="1440" w:type="dxa"/>
    </w:tblPr>
  </w:style>
  <w:style w:type="table" w:customStyle="1" w:styleId="TableNoRule5ec454c4d-875f-4ad7-ab7d-c13784f06f56">
    <w:name w:val="Table NoRule 5_ec454c4d-875f-4ad7-ab7d-c13784f06f56"/>
    <w:basedOn w:val="TableNoRule4b22d3bfc-9fed-400d-87e8-eb10ca5b5944"/>
    <w:uiPriority w:val="99"/>
    <w:tblPr>
      <w:tblInd w:w="1915" w:type="dxa"/>
    </w:tblPr>
  </w:style>
  <w:style w:type="table" w:customStyle="1" w:styleId="TableNoRule6">
    <w:name w:val="Table NoRule 6"/>
    <w:basedOn w:val="TableNoRule5ec454c4d-875f-4ad7-ab7d-c13784f06f56"/>
    <w:uiPriority w:val="99"/>
    <w:tblPr>
      <w:tblInd w:w="2390" w:type="dxa"/>
    </w:tblPr>
  </w:style>
  <w:style w:type="table" w:customStyle="1" w:styleId="NormalTable4a98e86e-7233-48e3-b5b6-6b7fa6c1fa4f">
    <w:name w:val="Normal Table_4a98e86e-7233-48e3-b5b6-6b7fa6c1fa4f"/>
    <w:uiPriority w:val="99"/>
    <w:semiHidden/>
    <w:unhideWhenUsed/>
    <w:tblPr>
      <w:tblInd w:w="0" w:type="dxa"/>
      <w:tblCellMar>
        <w:top w:w="0" w:type="dxa"/>
        <w:left w:w="108" w:type="dxa"/>
        <w:bottom w:w="0" w:type="dxa"/>
        <w:right w:w="108" w:type="dxa"/>
      </w:tblCellMar>
    </w:tblPr>
  </w:style>
  <w:style w:type="table" w:customStyle="1" w:styleId="TableNoRule111b9dfb2-4682-46c5-99e7-e3cbc7cce085">
    <w:name w:val="Table NoRule 1_11b9dfb2-4682-46c5-99e7-e3cbc7cce085"/>
    <w:basedOn w:val="NormalTable4a98e86e-7233-48e3-b5b6-6b7fa6c1fa4f"/>
    <w:uiPriority w:val="99"/>
    <w:pPr>
      <w:spacing w:before="0" w:after="0"/>
      <w:jc w:val="left"/>
    </w:pPr>
    <w:tblPr>
      <w:tblCellMar>
        <w:left w:w="0" w:type="dxa"/>
        <w:right w:w="0" w:type="dxa"/>
      </w:tblCellMar>
    </w:tblPr>
    <w:tcPr>
      <w:shd w:val="clear" w:color="auto" w:fill="auto"/>
    </w:tcPr>
  </w:style>
  <w:style w:type="table" w:customStyle="1" w:styleId="TableNoRule28a42806f-37bb-40ed-b318-fd06c1951a8f">
    <w:name w:val="Table NoRule 2_8a42806f-37bb-40ed-b318-fd06c1951a8f"/>
    <w:basedOn w:val="TableNoRule111b9dfb2-4682-46c5-99e7-e3cbc7cce085"/>
    <w:uiPriority w:val="99"/>
    <w:tblPr>
      <w:tblInd w:w="475" w:type="dxa"/>
    </w:tblPr>
  </w:style>
  <w:style w:type="table" w:customStyle="1" w:styleId="TableNoRule37f019724-dda9-4b2d-809c-5446d7ff0c49">
    <w:name w:val="Table NoRule 3_7f019724-dda9-4b2d-809c-5446d7ff0c49"/>
    <w:basedOn w:val="TableNoRule28a42806f-37bb-40ed-b318-fd06c1951a8f"/>
    <w:uiPriority w:val="99"/>
    <w:tblPr>
      <w:tblInd w:w="950" w:type="dxa"/>
    </w:tblPr>
  </w:style>
  <w:style w:type="table" w:customStyle="1" w:styleId="TableNoRule454c3c5b5-e0b5-4e0b-9d45-e1c6d2b17e76">
    <w:name w:val="Table NoRule 4_54c3c5b5-e0b5-4e0b-9d45-e1c6d2b17e76"/>
    <w:basedOn w:val="TableNoRule37f019724-dda9-4b2d-809c-5446d7ff0c49"/>
    <w:uiPriority w:val="99"/>
    <w:tblPr>
      <w:tblInd w:w="1440" w:type="dxa"/>
    </w:tblPr>
  </w:style>
  <w:style w:type="table" w:customStyle="1" w:styleId="TableNoRule54b0b6aaf-4abc-46af-85d6-0bd6fa7d94b8">
    <w:name w:val="Table NoRule 5_4b0b6aaf-4abc-46af-85d6-0bd6fa7d94b8"/>
    <w:basedOn w:val="TableNoRule454c3c5b5-e0b5-4e0b-9d45-e1c6d2b17e76"/>
    <w:uiPriority w:val="99"/>
    <w:tblPr>
      <w:tblInd w:w="1915" w:type="dxa"/>
    </w:tblPr>
  </w:style>
  <w:style w:type="table" w:customStyle="1" w:styleId="TableNoRule6f6382425-aad1-446f-ab42-465f8b8f81e3">
    <w:name w:val="Table NoRule 6_f6382425-aad1-446f-ab42-465f8b8f81e3"/>
    <w:basedOn w:val="TableNoRule54b0b6aaf-4abc-46af-85d6-0bd6fa7d94b8"/>
    <w:uiPriority w:val="99"/>
    <w:tblPr>
      <w:tblInd w:w="2390" w:type="dxa"/>
    </w:tblPr>
  </w:style>
  <w:style w:type="table" w:customStyle="1" w:styleId="TableNoRule7">
    <w:name w:val="Table NoRule 7"/>
    <w:basedOn w:val="TableNoRule6f6382425-aad1-446f-ab42-465f8b8f81e3"/>
    <w:uiPriority w:val="99"/>
    <w:tblPr>
      <w:tblInd w:w="2880" w:type="dxa"/>
    </w:tblPr>
  </w:style>
  <w:style w:type="table" w:customStyle="1" w:styleId="NormalTable9509c8b5-8eeb-451d-acd9-00d032245e13">
    <w:name w:val="Normal Table_9509c8b5-8eeb-451d-acd9-00d032245e13"/>
    <w:uiPriority w:val="99"/>
    <w:semiHidden/>
    <w:unhideWhenUsed/>
    <w:tblPr>
      <w:tblInd w:w="0" w:type="dxa"/>
      <w:tblCellMar>
        <w:top w:w="0" w:type="dxa"/>
        <w:left w:w="108" w:type="dxa"/>
        <w:bottom w:w="0" w:type="dxa"/>
        <w:right w:w="108" w:type="dxa"/>
      </w:tblCellMar>
    </w:tblPr>
  </w:style>
  <w:style w:type="table" w:customStyle="1" w:styleId="TableNoRule18cf392ba-d4bb-4233-8583-c35b808ef8b7">
    <w:name w:val="Table NoRule 1_8cf392ba-d4bb-4233-8583-c35b808ef8b7"/>
    <w:basedOn w:val="NormalTable9509c8b5-8eeb-451d-acd9-00d032245e13"/>
    <w:uiPriority w:val="99"/>
    <w:pPr>
      <w:spacing w:before="0" w:after="0"/>
      <w:jc w:val="left"/>
    </w:pPr>
    <w:tblPr>
      <w:tblCellMar>
        <w:left w:w="0" w:type="dxa"/>
        <w:right w:w="0" w:type="dxa"/>
      </w:tblCellMar>
    </w:tblPr>
    <w:tcPr>
      <w:shd w:val="clear" w:color="auto" w:fill="auto"/>
    </w:tcPr>
  </w:style>
  <w:style w:type="table" w:customStyle="1" w:styleId="TableNoRule267ea1271-a8a5-4f15-9f66-17ae2024de2b">
    <w:name w:val="Table NoRule 2_67ea1271-a8a5-4f15-9f66-17ae2024de2b"/>
    <w:basedOn w:val="TableNoRule18cf392ba-d4bb-4233-8583-c35b808ef8b7"/>
    <w:uiPriority w:val="99"/>
    <w:tblPr>
      <w:tblInd w:w="475" w:type="dxa"/>
    </w:tblPr>
  </w:style>
  <w:style w:type="table" w:customStyle="1" w:styleId="TableNoRule3be0d5b4b-109e-4d0d-8ac0-285c5c185513">
    <w:name w:val="Table NoRule 3_be0d5b4b-109e-4d0d-8ac0-285c5c185513"/>
    <w:basedOn w:val="TableNoRule267ea1271-a8a5-4f15-9f66-17ae2024de2b"/>
    <w:uiPriority w:val="99"/>
    <w:tblPr>
      <w:tblInd w:w="950" w:type="dxa"/>
    </w:tblPr>
  </w:style>
  <w:style w:type="table" w:customStyle="1" w:styleId="TableNoRule47e009467-4e1f-43d3-a0e6-81d315a65ce2">
    <w:name w:val="Table NoRule 4_7e009467-4e1f-43d3-a0e6-81d315a65ce2"/>
    <w:basedOn w:val="TableNoRule3be0d5b4b-109e-4d0d-8ac0-285c5c185513"/>
    <w:uiPriority w:val="99"/>
    <w:tblPr>
      <w:tblInd w:w="1440" w:type="dxa"/>
    </w:tblPr>
  </w:style>
  <w:style w:type="table" w:customStyle="1" w:styleId="TableNoRule5d0279656-5cba-4ae3-8cfa-711b2f2feebe">
    <w:name w:val="Table NoRule 5_d0279656-5cba-4ae3-8cfa-711b2f2feebe"/>
    <w:basedOn w:val="TableNoRule47e009467-4e1f-43d3-a0e6-81d315a65ce2"/>
    <w:uiPriority w:val="99"/>
    <w:tblPr>
      <w:tblInd w:w="1915" w:type="dxa"/>
    </w:tblPr>
  </w:style>
  <w:style w:type="table" w:customStyle="1" w:styleId="TableNoRule689a4d1ed-cc57-49a1-8fe5-cc597bf6607c">
    <w:name w:val="Table NoRule 6_89a4d1ed-cc57-49a1-8fe5-cc597bf6607c"/>
    <w:basedOn w:val="TableNoRule5d0279656-5cba-4ae3-8cfa-711b2f2feebe"/>
    <w:uiPriority w:val="99"/>
    <w:tblPr>
      <w:tblInd w:w="2390" w:type="dxa"/>
    </w:tblPr>
  </w:style>
  <w:style w:type="table" w:customStyle="1" w:styleId="TableNoRule7c2ef8770-4446-4f29-9ab3-2f8054e0a948">
    <w:name w:val="Table NoRule 7_c2ef8770-4446-4f29-9ab3-2f8054e0a948"/>
    <w:basedOn w:val="TableNoRule689a4d1ed-cc57-49a1-8fe5-cc597bf6607c"/>
    <w:uiPriority w:val="99"/>
    <w:tblPr>
      <w:tblInd w:w="2880" w:type="dxa"/>
    </w:tblPr>
  </w:style>
  <w:style w:type="table" w:customStyle="1" w:styleId="TableNoRule8">
    <w:name w:val="Table NoRule 8"/>
    <w:basedOn w:val="TableNoRule7c2ef8770-4446-4f29-9ab3-2f8054e0a948"/>
    <w:uiPriority w:val="99"/>
    <w:tblPr>
      <w:tblInd w:w="3355" w:type="dxa"/>
    </w:tblPr>
  </w:style>
  <w:style w:type="table" w:customStyle="1" w:styleId="NormalTableb533e95e-ee5a-4768-a45b-6fa1f65299d5">
    <w:name w:val="Normal Table_b533e95e-ee5a-4768-a45b-6fa1f65299d5"/>
    <w:uiPriority w:val="99"/>
    <w:semiHidden/>
    <w:unhideWhenUsed/>
    <w:tblPr>
      <w:tblInd w:w="0" w:type="dxa"/>
      <w:tblCellMar>
        <w:top w:w="0" w:type="dxa"/>
        <w:left w:w="108" w:type="dxa"/>
        <w:bottom w:w="0" w:type="dxa"/>
        <w:right w:w="108" w:type="dxa"/>
      </w:tblCellMar>
    </w:tblPr>
  </w:style>
  <w:style w:type="table" w:customStyle="1" w:styleId="TableNoRule1623b58c9-b7a1-483b-9511-bd6b6ae17491">
    <w:name w:val="Table NoRule 1_623b58c9-b7a1-483b-9511-bd6b6ae17491"/>
    <w:basedOn w:val="NormalTableb533e95e-ee5a-4768-a45b-6fa1f65299d5"/>
    <w:uiPriority w:val="99"/>
    <w:pPr>
      <w:spacing w:before="0" w:after="0"/>
      <w:jc w:val="left"/>
    </w:pPr>
    <w:tblPr>
      <w:tblCellMar>
        <w:left w:w="0" w:type="dxa"/>
        <w:right w:w="0" w:type="dxa"/>
      </w:tblCellMar>
    </w:tblPr>
    <w:tcPr>
      <w:shd w:val="clear" w:color="auto" w:fill="auto"/>
    </w:tcPr>
  </w:style>
  <w:style w:type="table" w:customStyle="1" w:styleId="TableNoRule248f1f16f-e8c3-4738-a430-2204733f768a">
    <w:name w:val="Table NoRule 2_48f1f16f-e8c3-4738-a430-2204733f768a"/>
    <w:basedOn w:val="TableNoRule1623b58c9-b7a1-483b-9511-bd6b6ae17491"/>
    <w:uiPriority w:val="99"/>
    <w:tblPr>
      <w:tblInd w:w="475" w:type="dxa"/>
    </w:tblPr>
  </w:style>
  <w:style w:type="table" w:customStyle="1" w:styleId="TableNoRule3eef7b557-42cf-44e2-8057-b99d000c7e00">
    <w:name w:val="Table NoRule 3_eef7b557-42cf-44e2-8057-b99d000c7e00"/>
    <w:basedOn w:val="TableNoRule248f1f16f-e8c3-4738-a430-2204733f768a"/>
    <w:uiPriority w:val="99"/>
    <w:tblPr>
      <w:tblInd w:w="950" w:type="dxa"/>
    </w:tblPr>
  </w:style>
  <w:style w:type="table" w:customStyle="1" w:styleId="TableNoRule415a40e24-bddb-4061-8adb-5884957539f0">
    <w:name w:val="Table NoRule 4_15a40e24-bddb-4061-8adb-5884957539f0"/>
    <w:basedOn w:val="TableNoRule3eef7b557-42cf-44e2-8057-b99d000c7e00"/>
    <w:uiPriority w:val="99"/>
    <w:tblPr>
      <w:tblInd w:w="1440" w:type="dxa"/>
    </w:tblPr>
  </w:style>
  <w:style w:type="table" w:customStyle="1" w:styleId="TableNoRule5afc41a5b-175c-4ff9-ad4a-69eae38013b7">
    <w:name w:val="Table NoRule 5_afc41a5b-175c-4ff9-ad4a-69eae38013b7"/>
    <w:basedOn w:val="TableNoRule415a40e24-bddb-4061-8adb-5884957539f0"/>
    <w:uiPriority w:val="99"/>
    <w:tblPr>
      <w:tblInd w:w="1915" w:type="dxa"/>
    </w:tblPr>
  </w:style>
  <w:style w:type="table" w:customStyle="1" w:styleId="TableNoRule6a0cf4e77-485a-48a2-b9d4-e4ea04c1b355">
    <w:name w:val="Table NoRule 6_a0cf4e77-485a-48a2-b9d4-e4ea04c1b355"/>
    <w:basedOn w:val="TableNoRule5afc41a5b-175c-4ff9-ad4a-69eae38013b7"/>
    <w:uiPriority w:val="99"/>
    <w:tblPr>
      <w:tblInd w:w="2390" w:type="dxa"/>
    </w:tblPr>
  </w:style>
  <w:style w:type="table" w:customStyle="1" w:styleId="TableNoRule7864dcf8e-7999-40cd-9d0a-a9e77c073b12">
    <w:name w:val="Table NoRule 7_864dcf8e-7999-40cd-9d0a-a9e77c073b12"/>
    <w:basedOn w:val="TableNoRule6a0cf4e77-485a-48a2-b9d4-e4ea04c1b355"/>
    <w:uiPriority w:val="99"/>
    <w:tblPr>
      <w:tblInd w:w="2880" w:type="dxa"/>
    </w:tblPr>
  </w:style>
  <w:style w:type="table" w:customStyle="1" w:styleId="TableNoRule8f0745a20-3fa9-4082-9f4b-f82fddaee2a3">
    <w:name w:val="Table NoRule 8_f0745a20-3fa9-4082-9f4b-f82fddaee2a3"/>
    <w:basedOn w:val="TableNoRule7864dcf8e-7999-40cd-9d0a-a9e77c073b12"/>
    <w:uiPriority w:val="99"/>
    <w:tblPr>
      <w:tblInd w:w="3355" w:type="dxa"/>
    </w:tblPr>
  </w:style>
  <w:style w:type="table" w:customStyle="1" w:styleId="TableNoRule9">
    <w:name w:val="Table NoRule 9"/>
    <w:basedOn w:val="TableNoRule8f0745a20-3fa9-4082-9f4b-f82fddaee2a3"/>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welch</dc:creator>
  <cp:lastModifiedBy>gary welch</cp:lastModifiedBy>
  <cp:revision>5</cp:revision>
  <dcterms:created xsi:type="dcterms:W3CDTF">2026-05-14T01:25:00Z</dcterms:created>
  <dcterms:modified xsi:type="dcterms:W3CDTF">2026-05-14T18:20:00Z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42426dc6-910c-488e-98d4-6a8b97f0fdc4</vt:lpwstr>
  </property>
</Properties>
</file>